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平顶山市经营性公墓管理办法（试行）</w:t>
      </w:r>
    </w:p>
    <w:p>
      <w:pPr>
        <w:widowControl/>
        <w:spacing w:line="570" w:lineRule="exact"/>
        <w:jc w:val="center"/>
        <w:rPr>
          <w:rFonts w:ascii="CESI楷体-GB2312" w:hAnsi="CESI楷体-GB2312" w:eastAsia="CESI楷体-GB2312" w:cs="CESI楷体-GB2312"/>
          <w:color w:val="000000"/>
          <w:kern w:val="0"/>
          <w:sz w:val="32"/>
          <w:szCs w:val="32"/>
        </w:rPr>
      </w:pPr>
      <w:r>
        <w:rPr>
          <w:rFonts w:hint="eastAsia" w:ascii="CESI楷体-GB2312" w:hAnsi="CESI楷体-GB2312" w:eastAsia="CESI楷体-GB2312" w:cs="CESI楷体-GB2312"/>
          <w:color w:val="000000"/>
          <w:kern w:val="0"/>
          <w:sz w:val="32"/>
          <w:szCs w:val="32"/>
        </w:rPr>
        <w:t>（征求意见稿）</w:t>
      </w:r>
    </w:p>
    <w:p>
      <w:pPr>
        <w:widowControl/>
        <w:spacing w:after="0" w:line="570" w:lineRule="exact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 xml:space="preserve">             </w:t>
      </w:r>
    </w:p>
    <w:p>
      <w:pPr>
        <w:widowControl/>
        <w:spacing w:after="0" w:line="57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bookmarkStart w:id="1" w:name="_GoBack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第一条 为加强经营性公墓管理,保护土地资源和生态环境,保障墓穴认购者的合法权益，根据国务院《殡葬管理条例》、民政部《公墓管理暂行办法》和《河南省殡葬管理办法》等有关规定,结合本市实际情况，制定本办法。 </w:t>
      </w:r>
    </w:p>
    <w:p>
      <w:pPr>
        <w:spacing w:after="0" w:line="570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第二条 凡在本市行政区域内建立、经营、管理、使用经营性公墓的单位和个人，均应遵守本办法。</w:t>
      </w:r>
    </w:p>
    <w:p>
      <w:pPr>
        <w:spacing w:after="0" w:line="570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第三条 本办法所称的经营性公墓是指为城乡居民提供骨灰安葬，实行有偿服务的公共墓地。</w:t>
      </w:r>
    </w:p>
    <w:p>
      <w:pPr>
        <w:spacing w:after="0" w:line="570" w:lineRule="exac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第四条 任何单位和个人未经批准，不得擅自兴建经营性公墓。</w:t>
      </w:r>
    </w:p>
    <w:p>
      <w:pPr>
        <w:spacing w:after="0" w:line="570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第五条 经营性公墓建立应当符合国土空间规划总体要求，遵循合理布局、节地生态、总量控制的原则。</w:t>
      </w:r>
    </w:p>
    <w:p>
      <w:pPr>
        <w:pStyle w:val="8"/>
        <w:spacing w:before="0" w:beforeAutospacing="0" w:after="0" w:afterAutospacing="0" w:line="57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第六条 申请新建经营性公墓，必须依法取得土地使用权，按照审批程序，经县（市、区）民政部门报请本级人民政府审核同意后，报平顶山市民政局审批，审批结果报河南省民政厅备案。</w:t>
      </w:r>
    </w:p>
    <w:p>
      <w:pPr>
        <w:pStyle w:val="8"/>
        <w:spacing w:before="0" w:beforeAutospacing="0" w:after="0" w:afterAutospacing="0" w:line="57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申请新建经营性公墓的，应当提交下列材料：</w:t>
      </w:r>
    </w:p>
    <w:p>
      <w:pPr>
        <w:pStyle w:val="8"/>
        <w:spacing w:before="0" w:beforeAutospacing="0" w:after="0" w:afterAutospacing="0" w:line="570" w:lineRule="exact"/>
        <w:ind w:firstLine="480" w:firstLineChars="150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（一）建立公墓的申请报告；</w:t>
      </w:r>
    </w:p>
    <w:p>
      <w:pPr>
        <w:pStyle w:val="8"/>
        <w:spacing w:before="0" w:beforeAutospacing="0" w:after="0" w:afterAutospacing="0" w:line="570" w:lineRule="exact"/>
        <w:ind w:firstLine="480" w:firstLineChars="150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（二）申请人的资格证明；</w:t>
      </w:r>
    </w:p>
    <w:p>
      <w:pPr>
        <w:pStyle w:val="8"/>
        <w:spacing w:before="0" w:beforeAutospacing="0" w:after="0" w:afterAutospacing="0" w:line="570" w:lineRule="exact"/>
        <w:ind w:firstLine="480" w:firstLineChars="15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（三）城乡建设、自然资源和规划部门的审查意见；涉及林地的，还应当提供林业部门的审查意见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pStyle w:val="8"/>
        <w:spacing w:before="0" w:beforeAutospacing="0" w:after="0" w:afterAutospacing="0" w:line="570" w:lineRule="exact"/>
        <w:ind w:firstLine="480" w:firstLineChars="150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（四）建立公墓的可行性报告；</w:t>
      </w:r>
    </w:p>
    <w:p>
      <w:pPr>
        <w:pStyle w:val="8"/>
        <w:spacing w:before="0" w:beforeAutospacing="0" w:after="0" w:afterAutospacing="0" w:line="570" w:lineRule="exact"/>
        <w:ind w:firstLine="320" w:firstLineChars="100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（五）其他有关材料。</w:t>
      </w:r>
    </w:p>
    <w:p>
      <w:pPr>
        <w:pStyle w:val="8"/>
        <w:spacing w:before="0" w:beforeAutospacing="0" w:after="0" w:afterAutospacing="0" w:line="57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未通过招拍挂方式依法取得土地使用权，申请新建、扩建经营性公墓的，民政部门不予受理。</w:t>
      </w:r>
    </w:p>
    <w:p>
      <w:pPr>
        <w:widowControl/>
        <w:spacing w:after="0" w:line="570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第七条 经批准新建的经营性公墓，平顶山市民政局应当会同有关部门检查验收合格后，发放《公墓经营许可证》。建墓单位凭《公墓经营许可证》向工商行政管理部门申领营业执照。《公墓经营许可证》由平顶山市民政局统一制发。</w:t>
      </w:r>
    </w:p>
    <w:p>
      <w:pPr>
        <w:spacing w:after="0" w:line="570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第八条 变更公墓名称等信息经县（市、区）民政部门审核同意后，报平顶山市民政局审批。公墓经营者变更工商营业执照等信息需经县（市、区）民政部门批准，报平顶山市民政局备案。</w:t>
      </w:r>
    </w:p>
    <w:p>
      <w:pPr>
        <w:spacing w:after="0" w:line="570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第九条 经营性公墓应当符合以下要求：</w:t>
      </w:r>
    </w:p>
    <w:p>
      <w:pPr>
        <w:spacing w:after="0" w:line="570" w:lineRule="exact"/>
        <w:ind w:firstLine="640" w:firstLineChars="200"/>
        <w:rPr>
          <w:rFonts w:ascii="仿宋_GB2312" w:hAnsi="仿宋_GB2312" w:eastAsia="仿宋_GB2312" w:cs="仿宋_GB2312"/>
          <w:color w:val="auto"/>
          <w:sz w:val="31"/>
          <w:szCs w:val="31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1"/>
          <w:szCs w:val="31"/>
          <w:shd w:val="clear" w:color="auto" w:fill="FFFFFF"/>
        </w:rPr>
        <w:t>公墓墓地应当保持整洁、肃穆。墓区应合理规划、因地制宜进行绿化、美化,逐步实现园林化</w:t>
      </w:r>
      <w:r>
        <w:rPr>
          <w:rFonts w:ascii="仿宋_GB2312" w:hAnsi="仿宋_GB2312" w:eastAsia="仿宋_GB2312" w:cs="仿宋_GB2312"/>
          <w:color w:val="auto"/>
          <w:sz w:val="31"/>
          <w:szCs w:val="31"/>
          <w:shd w:val="clear" w:color="auto" w:fill="FFFFFF"/>
        </w:rPr>
        <w:t>,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墓区绿化率达到50%以上</w:t>
      </w:r>
      <w:r>
        <w:rPr>
          <w:rFonts w:hint="eastAsia" w:ascii="仿宋_GB2312" w:hAnsi="仿宋_GB2312" w:eastAsia="仿宋_GB2312" w:cs="仿宋_GB2312"/>
          <w:color w:val="auto"/>
          <w:sz w:val="31"/>
          <w:szCs w:val="31"/>
          <w:shd w:val="clear" w:color="auto" w:fill="FFFFFF"/>
        </w:rPr>
        <w:t>。</w:t>
      </w:r>
    </w:p>
    <w:p>
      <w:pPr>
        <w:spacing w:after="0" w:line="570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（二）严格限制公墓墓穴占地面积，安葬骨灰的单人或双人合葬墓穴占地面积不得超过1平方米，立式碑的高度不超过0.8米。鼓励建造占地面积低于0.5平方米的节地型墓位。</w:t>
      </w:r>
    </w:p>
    <w:p>
      <w:pPr>
        <w:spacing w:after="0" w:line="570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（三）经营性公墓要在未开发建设、未销售的区域内至少划出30%的墓位用于公益事业，并依法实行限价销售，鼓励</w:t>
      </w:r>
      <w:bookmarkStart w:id="0" w:name="_Hlk183726624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公墓经营者</w:t>
      </w:r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提供低价位墓穴。</w:t>
      </w:r>
    </w:p>
    <w:p>
      <w:pPr>
        <w:spacing w:after="0" w:line="560" w:lineRule="exact"/>
        <w:ind w:firstLine="640" w:firstLineChars="200"/>
        <w:jc w:val="both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（四）省级以上民政部门要求的其他情形。</w:t>
      </w:r>
    </w:p>
    <w:p>
      <w:pPr>
        <w:pStyle w:val="8"/>
        <w:spacing w:before="0" w:beforeAutospacing="0" w:after="0" w:afterAutospacing="0" w:line="57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第十条 公墓经营者应当将公墓经营许可证、工商营业执照、服务收费项目和标准以及相关规章制度上墙公示，主动接受社会监督。公墓服务收费项目和标准应向县（市、区）民政部门备案。</w:t>
      </w:r>
    </w:p>
    <w:p>
      <w:pPr>
        <w:pStyle w:val="8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第十一条 公墓经营者销售墓穴，应当与墓穴认购者签订书面合同，发放墓穴使用证。经营性公墓的墓穴价格包含墓穴使用费、墓穴管理费、墓地工料费和首次安葬费等费用。</w:t>
      </w:r>
    </w:p>
    <w:p>
      <w:pPr>
        <w:widowControl/>
        <w:spacing w:after="0" w:line="57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第十二条 购买经营性公墓墓穴的，墓穴认购者应当向公墓经营者交纳墓穴管理费；公墓经营者应当在墓穴销售款中按规定比例提取墓穴管理费。</w:t>
      </w:r>
    </w:p>
    <w:p>
      <w:pPr>
        <w:widowControl/>
        <w:spacing w:after="0" w:line="57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第十三条 墓穴管理费按照以下规定进行提取：</w:t>
      </w:r>
    </w:p>
    <w:p>
      <w:pPr>
        <w:widowControl/>
        <w:spacing w:line="660" w:lineRule="exact"/>
        <w:ind w:firstLine="640" w:firstLineChars="200"/>
        <w:rPr>
          <w:rFonts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一）公墓经营者在墓穴售出时，从墓穴销售款中提取10.1%的比例作为墓穴管理费。如果墓穴售出时，该公墓土地使用权期限剩余不足十年的，则按照墓穴销售款的15%提取墓穴管理费；土地使用权期限剩余不足五年的，则按照墓穴销售款的20%提取墓穴管理费。</w:t>
      </w:r>
    </w:p>
    <w:p>
      <w:pPr>
        <w:widowControl/>
        <w:spacing w:line="660" w:lineRule="exact"/>
        <w:ind w:firstLine="640" w:firstLineChars="200"/>
        <w:rPr>
          <w:rFonts w:ascii="仿宋" w:hAnsi="仿宋" w:eastAsia="仿宋" w:cs="仿宋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（二）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老墓穴维护管理到期后，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墓穴认购者有继续交纳墓穴管理费的义务。墓穴管理费一次性收取最长不得超过20年，且不得超过剩余土地使用期限。</w:t>
      </w:r>
    </w:p>
    <w:p>
      <w:pPr>
        <w:widowControl/>
        <w:spacing w:after="0"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第十四条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 xml:space="preserve">墓穴管理费作为公墓专项维护资金，仅限于以下使用范围： </w:t>
      </w:r>
    </w:p>
    <w:p>
      <w:pPr>
        <w:widowControl/>
        <w:spacing w:after="0"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 xml:space="preserve">（一）墓穴、墓区道路和其它设施设备的维修和保养； </w:t>
      </w:r>
    </w:p>
    <w:p>
      <w:pPr>
        <w:widowControl/>
        <w:spacing w:after="0"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 xml:space="preserve">（二）绿化的养护和种植； </w:t>
      </w:r>
    </w:p>
    <w:p>
      <w:pPr>
        <w:widowControl/>
        <w:spacing w:after="0"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（三）因自然灾害等不可抗力造成墓穴破坏性的修复；</w:t>
      </w:r>
    </w:p>
    <w:p>
      <w:pPr>
        <w:widowControl/>
        <w:spacing w:after="0"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 xml:space="preserve">（四）墓穴全部售完后的管理开支。 </w:t>
      </w:r>
    </w:p>
    <w:p>
      <w:pPr>
        <w:widowControl/>
        <w:spacing w:after="0"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根据本办法第十三条第（一）项规定所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提取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的墓穴管理费以及利息增值部分，仅用于本条第（三）、（四）项规定的使用范围。</w:t>
      </w:r>
    </w:p>
    <w:p>
      <w:pPr>
        <w:widowControl/>
        <w:spacing w:after="0" w:line="560" w:lineRule="exact"/>
        <w:ind w:firstLine="640" w:firstLineChars="200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第十五条 市、县民政部门与公墓经营者共同委托银行或者第三方代管，开设墓穴管理费存储专户，独立核算收入和支出，加强墓穴管理费的提取监管，做到专款专用。</w:t>
      </w:r>
    </w:p>
    <w:p>
      <w:pPr>
        <w:widowControl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第十六条 公墓经营者应当按季度将提取的墓穴管理费存储到专户上。墓穴管理费的存储、使用、管理纳入公墓年检范围。</w:t>
      </w:r>
    </w:p>
    <w:p>
      <w:pPr>
        <w:widowControl/>
        <w:spacing w:after="0" w:line="57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第十七条 公墓经营者确须使用墓穴管理费的，应当向县（市、区）民政部门提出书面申请，县（市、区）民政部门自接到申请书之日起十五日内作出审核，报平顶山市民政局审批。 </w:t>
      </w:r>
    </w:p>
    <w:p>
      <w:pPr>
        <w:widowControl/>
        <w:spacing w:after="0" w:line="570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第十八条 公墓经营者日常提取和使用墓穴管理费应当接受县（市、区）民政部门和平顶山市民政局的监督和检查。上年度墓穴管理费的收支情况，应于每年3月底前对外公示。</w:t>
      </w:r>
    </w:p>
    <w:p>
      <w:pPr>
        <w:pStyle w:val="8"/>
        <w:spacing w:before="0" w:beforeAutospacing="0" w:after="0" w:afterAutospacing="0" w:line="57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第十九条 公墓经营者在土地使用权到期前1年或虽未到期但剩余墓穴不足销售1年时，应向县（市、区）民政部门报送闭园管理预案。墓区闭园后，公墓经营者按规定提供殡仪服务。</w:t>
      </w:r>
    </w:p>
    <w:p>
      <w:pPr>
        <w:spacing w:after="0" w:line="570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第二十条 公墓经营者应当加强公墓安全管理，配齐人防物防技防设施设备，建立消防、值班巡查、隐患排查等管理制度，制定重大祭扫日等突发事件应急预案，确保运营安全。</w:t>
      </w:r>
    </w:p>
    <w:p>
      <w:pPr>
        <w:spacing w:after="0" w:line="570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第二十一条 禁止在公墓内建宗族墓、活人墓、豪华墓，禁止骨灰装棺再葬和开展封建迷信活动；禁止倒买炒卖、传销或变相传销墓穴。 </w:t>
      </w:r>
    </w:p>
    <w:p>
      <w:pPr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第二十二条 经营性公墓每年依法实行年检。</w:t>
      </w:r>
    </w:p>
    <w:p>
      <w:pPr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县(市、区)民政部门组织开展年检的初审，提出初审意见报平顶山市民政局审批。年检结果分为“优良”、“合格”、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“整改”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“不合格”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个等级。</w:t>
      </w:r>
    </w:p>
    <w:p>
      <w:pPr>
        <w:spacing w:after="0" w:line="560" w:lineRule="exact"/>
        <w:ind w:firstLine="640" w:firstLineChars="200"/>
        <w:jc w:val="both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整改公墓缓发《公墓经营许可证》,1个月内向属地民政部门报送整改进度，3个月内整改完毕，由属地民政部门组织验收并向平顶山市民政局提出整改验收意见，市民政局复检合格的换发《公墓经营许可证》，复检不合格的按不合格公墓处理。</w:t>
      </w:r>
    </w:p>
    <w:p>
      <w:pPr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凡年检“不合格”的，要限期改正，逾期不改正的，由平顶山市民政局责令停业整顿。连续三年年检不合格的，将予以取缔。</w:t>
      </w:r>
    </w:p>
    <w:p>
      <w:pPr>
        <w:spacing w:after="0" w:line="57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第二十三条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违反本办法第四条规定，未经批准擅自兴建经营性公墓的，由民政部门依法会同建设、土地行政管理部门予以取缔，责令恢复原状，没收违法所得，可以并处违法所得1倍以上3倍以下的罚款。</w:t>
      </w:r>
    </w:p>
    <w:p>
      <w:pPr>
        <w:pStyle w:val="2"/>
        <w:ind w:firstLine="64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第二十四条 违反本办法第九条规定，墓穴占地面积超过规定标准的，由民政部门依法责令限期改正，没收违法所得，可以并处违法所得1倍以上3倍以下的罚款。</w:t>
      </w:r>
    </w:p>
    <w:p>
      <w:pPr>
        <w:spacing w:after="0" w:line="570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第二十五条 经营性骨灰安放设施的管理参照本办法执行。</w:t>
      </w:r>
    </w:p>
    <w:p>
      <w:pPr>
        <w:spacing w:after="0" w:line="570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第二十六条 县（市、区）民政部门应当结合本办法，制定辖区内经营性公墓的具体监管措施。</w:t>
      </w:r>
    </w:p>
    <w:p>
      <w:pPr>
        <w:spacing w:after="0" w:line="570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第二十七条 本办法由平顶山市民政局负责解释。有效期内如与上级新发布文件相抵触的，以上级文件为准。</w:t>
      </w:r>
    </w:p>
    <w:p>
      <w:pPr>
        <w:widowControl/>
        <w:spacing w:after="0" w:line="570" w:lineRule="exact"/>
        <w:ind w:firstLine="640" w:firstLineChars="200"/>
        <w:rPr>
          <w:rFonts w:eastAsia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第二十八条 本办法自2025年XX月XX日起执行，有效期2年。</w:t>
      </w:r>
    </w:p>
    <w:p>
      <w:pPr>
        <w:rPr>
          <w:color w:val="auto"/>
        </w:rPr>
      </w:pPr>
    </w:p>
    <w:p>
      <w:pPr>
        <w:rPr>
          <w:color w:val="auto"/>
        </w:rPr>
      </w:pPr>
      <w:r>
        <w:rPr>
          <w:rFonts w:hint="eastAsia"/>
          <w:color w:val="auto"/>
        </w:rPr>
        <w:t xml:space="preserve">                                             </w:t>
      </w:r>
    </w:p>
    <w:p>
      <w:pPr>
        <w:widowControl/>
        <w:spacing w:after="0" w:line="57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bookmarkEnd w:id="1"/>
    <w:sectPr>
      <w:footerReference r:id="rId5" w:type="default"/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6"/>
                  <w:rPr>
                    <w:rFonts w:ascii="华文宋体" w:hAnsi="华文宋体" w:eastAsia="华文宋体" w:cs="华文宋体"/>
                    <w:sz w:val="28"/>
                    <w:szCs w:val="28"/>
                  </w:rPr>
                </w:pPr>
                <w:r>
                  <w:rPr>
                    <w:rFonts w:hint="eastAsia" w:ascii="华文宋体" w:hAnsi="华文宋体" w:eastAsia="华文宋体" w:cs="华文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华文宋体" w:hAnsi="华文宋体" w:eastAsia="华文宋体" w:cs="华文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华文宋体" w:hAnsi="华文宋体" w:eastAsia="华文宋体" w:cs="华文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华文宋体" w:hAnsi="华文宋体" w:eastAsia="华文宋体" w:cs="华文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华文宋体" w:hAnsi="华文宋体" w:eastAsia="华文宋体" w:cs="华文宋体"/>
                    <w:sz w:val="28"/>
                    <w:szCs w:val="28"/>
                  </w:rPr>
                  <w:t>6</w:t>
                </w:r>
                <w:r>
                  <w:rPr>
                    <w:rFonts w:hint="eastAsia" w:ascii="华文宋体" w:hAnsi="华文宋体" w:eastAsia="华文宋体" w:cs="华文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华文宋体" w:hAnsi="华文宋体" w:eastAsia="华文宋体" w:cs="华文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160EFA"/>
    <w:rsid w:val="00007907"/>
    <w:rsid w:val="000227E1"/>
    <w:rsid w:val="00045F37"/>
    <w:rsid w:val="00057C62"/>
    <w:rsid w:val="00062C12"/>
    <w:rsid w:val="00072F59"/>
    <w:rsid w:val="00074C12"/>
    <w:rsid w:val="00090F29"/>
    <w:rsid w:val="000930DC"/>
    <w:rsid w:val="0009749C"/>
    <w:rsid w:val="000A023D"/>
    <w:rsid w:val="000B73A0"/>
    <w:rsid w:val="000D3052"/>
    <w:rsid w:val="000E1080"/>
    <w:rsid w:val="000F45D9"/>
    <w:rsid w:val="00103968"/>
    <w:rsid w:val="00104174"/>
    <w:rsid w:val="001069BA"/>
    <w:rsid w:val="0011330D"/>
    <w:rsid w:val="0014459A"/>
    <w:rsid w:val="00153822"/>
    <w:rsid w:val="00160EFA"/>
    <w:rsid w:val="001652D3"/>
    <w:rsid w:val="001722E8"/>
    <w:rsid w:val="00191EA8"/>
    <w:rsid w:val="001A0800"/>
    <w:rsid w:val="001C4D53"/>
    <w:rsid w:val="001C797F"/>
    <w:rsid w:val="001D346A"/>
    <w:rsid w:val="001F06A1"/>
    <w:rsid w:val="001F740C"/>
    <w:rsid w:val="00201ADB"/>
    <w:rsid w:val="0020370D"/>
    <w:rsid w:val="00224980"/>
    <w:rsid w:val="002766FC"/>
    <w:rsid w:val="002818A7"/>
    <w:rsid w:val="002825E3"/>
    <w:rsid w:val="0029135B"/>
    <w:rsid w:val="002C08A1"/>
    <w:rsid w:val="002D1105"/>
    <w:rsid w:val="00311C7D"/>
    <w:rsid w:val="003124C1"/>
    <w:rsid w:val="0031580F"/>
    <w:rsid w:val="00320947"/>
    <w:rsid w:val="00322B30"/>
    <w:rsid w:val="00334804"/>
    <w:rsid w:val="00335A93"/>
    <w:rsid w:val="003374FF"/>
    <w:rsid w:val="00337FA9"/>
    <w:rsid w:val="0034567D"/>
    <w:rsid w:val="00355319"/>
    <w:rsid w:val="00370D0F"/>
    <w:rsid w:val="00382679"/>
    <w:rsid w:val="00383A29"/>
    <w:rsid w:val="003862CE"/>
    <w:rsid w:val="003A4C15"/>
    <w:rsid w:val="003A51E0"/>
    <w:rsid w:val="003C389C"/>
    <w:rsid w:val="003C5237"/>
    <w:rsid w:val="003D3D4F"/>
    <w:rsid w:val="003F0A31"/>
    <w:rsid w:val="00416588"/>
    <w:rsid w:val="004646B3"/>
    <w:rsid w:val="004936A1"/>
    <w:rsid w:val="004A6548"/>
    <w:rsid w:val="004A76BC"/>
    <w:rsid w:val="004B4290"/>
    <w:rsid w:val="004C45DC"/>
    <w:rsid w:val="004D1520"/>
    <w:rsid w:val="004D2A90"/>
    <w:rsid w:val="004D45B0"/>
    <w:rsid w:val="004D7E85"/>
    <w:rsid w:val="004E1C15"/>
    <w:rsid w:val="004F20A2"/>
    <w:rsid w:val="004F55CD"/>
    <w:rsid w:val="005055E1"/>
    <w:rsid w:val="00540353"/>
    <w:rsid w:val="005428A0"/>
    <w:rsid w:val="005613F9"/>
    <w:rsid w:val="00562215"/>
    <w:rsid w:val="00570432"/>
    <w:rsid w:val="00590837"/>
    <w:rsid w:val="005A12BF"/>
    <w:rsid w:val="005A4C36"/>
    <w:rsid w:val="005B6900"/>
    <w:rsid w:val="005C399D"/>
    <w:rsid w:val="005F6904"/>
    <w:rsid w:val="006033D0"/>
    <w:rsid w:val="00611B26"/>
    <w:rsid w:val="0062686D"/>
    <w:rsid w:val="00662178"/>
    <w:rsid w:val="00662C37"/>
    <w:rsid w:val="00692B75"/>
    <w:rsid w:val="006A1239"/>
    <w:rsid w:val="006A6C6F"/>
    <w:rsid w:val="006B5B66"/>
    <w:rsid w:val="006D4C9A"/>
    <w:rsid w:val="006F1A61"/>
    <w:rsid w:val="0070757C"/>
    <w:rsid w:val="0072119E"/>
    <w:rsid w:val="0072153E"/>
    <w:rsid w:val="00726578"/>
    <w:rsid w:val="007318AC"/>
    <w:rsid w:val="00736F17"/>
    <w:rsid w:val="007477B8"/>
    <w:rsid w:val="00750FCF"/>
    <w:rsid w:val="00760EFA"/>
    <w:rsid w:val="0078342A"/>
    <w:rsid w:val="0078353A"/>
    <w:rsid w:val="00784D20"/>
    <w:rsid w:val="00796B24"/>
    <w:rsid w:val="007A5E73"/>
    <w:rsid w:val="007C25C7"/>
    <w:rsid w:val="007C503F"/>
    <w:rsid w:val="007D4485"/>
    <w:rsid w:val="007D58A0"/>
    <w:rsid w:val="007F6DC7"/>
    <w:rsid w:val="008037B4"/>
    <w:rsid w:val="00811906"/>
    <w:rsid w:val="008143C5"/>
    <w:rsid w:val="00821364"/>
    <w:rsid w:val="0082627A"/>
    <w:rsid w:val="00847311"/>
    <w:rsid w:val="00853FB6"/>
    <w:rsid w:val="008544B0"/>
    <w:rsid w:val="00856E0F"/>
    <w:rsid w:val="008614E2"/>
    <w:rsid w:val="00874442"/>
    <w:rsid w:val="008B0E14"/>
    <w:rsid w:val="008B717D"/>
    <w:rsid w:val="008F365F"/>
    <w:rsid w:val="00914AA6"/>
    <w:rsid w:val="00926A77"/>
    <w:rsid w:val="0093098A"/>
    <w:rsid w:val="009312D9"/>
    <w:rsid w:val="009777FB"/>
    <w:rsid w:val="00983F6D"/>
    <w:rsid w:val="00996227"/>
    <w:rsid w:val="009A52D0"/>
    <w:rsid w:val="009D22EF"/>
    <w:rsid w:val="009D23F6"/>
    <w:rsid w:val="009D4337"/>
    <w:rsid w:val="009D4396"/>
    <w:rsid w:val="009F1731"/>
    <w:rsid w:val="009F668F"/>
    <w:rsid w:val="00A03AB3"/>
    <w:rsid w:val="00A07118"/>
    <w:rsid w:val="00A21412"/>
    <w:rsid w:val="00A23A07"/>
    <w:rsid w:val="00A337EE"/>
    <w:rsid w:val="00A4457B"/>
    <w:rsid w:val="00A50324"/>
    <w:rsid w:val="00A6030B"/>
    <w:rsid w:val="00A730C7"/>
    <w:rsid w:val="00A75893"/>
    <w:rsid w:val="00AB6D20"/>
    <w:rsid w:val="00AC119A"/>
    <w:rsid w:val="00AD7DC4"/>
    <w:rsid w:val="00AF15E3"/>
    <w:rsid w:val="00B055E2"/>
    <w:rsid w:val="00B07832"/>
    <w:rsid w:val="00B12C76"/>
    <w:rsid w:val="00B16013"/>
    <w:rsid w:val="00B348EF"/>
    <w:rsid w:val="00B47AD8"/>
    <w:rsid w:val="00B52B80"/>
    <w:rsid w:val="00B54203"/>
    <w:rsid w:val="00B55E9F"/>
    <w:rsid w:val="00BA5A8D"/>
    <w:rsid w:val="00BB2467"/>
    <w:rsid w:val="00BB52B1"/>
    <w:rsid w:val="00BD62EF"/>
    <w:rsid w:val="00BE3765"/>
    <w:rsid w:val="00BE5BF7"/>
    <w:rsid w:val="00C030C4"/>
    <w:rsid w:val="00C045F1"/>
    <w:rsid w:val="00C14986"/>
    <w:rsid w:val="00C63D7F"/>
    <w:rsid w:val="00C64BEE"/>
    <w:rsid w:val="00C7096A"/>
    <w:rsid w:val="00C72D9D"/>
    <w:rsid w:val="00C756E7"/>
    <w:rsid w:val="00C7644A"/>
    <w:rsid w:val="00C96621"/>
    <w:rsid w:val="00CA52D0"/>
    <w:rsid w:val="00CA7E19"/>
    <w:rsid w:val="00CB05EA"/>
    <w:rsid w:val="00CD043F"/>
    <w:rsid w:val="00CE5D72"/>
    <w:rsid w:val="00D04D81"/>
    <w:rsid w:val="00D16AD5"/>
    <w:rsid w:val="00D17750"/>
    <w:rsid w:val="00D32C24"/>
    <w:rsid w:val="00D46CE6"/>
    <w:rsid w:val="00D47681"/>
    <w:rsid w:val="00D51479"/>
    <w:rsid w:val="00D70130"/>
    <w:rsid w:val="00D70BBA"/>
    <w:rsid w:val="00D77684"/>
    <w:rsid w:val="00D975BD"/>
    <w:rsid w:val="00DB6E2B"/>
    <w:rsid w:val="00DC30B3"/>
    <w:rsid w:val="00DD1AEE"/>
    <w:rsid w:val="00DE1704"/>
    <w:rsid w:val="00DF14C2"/>
    <w:rsid w:val="00DF387A"/>
    <w:rsid w:val="00E00E6A"/>
    <w:rsid w:val="00E02EFF"/>
    <w:rsid w:val="00E152E1"/>
    <w:rsid w:val="00E161D3"/>
    <w:rsid w:val="00E2109F"/>
    <w:rsid w:val="00E21890"/>
    <w:rsid w:val="00E53708"/>
    <w:rsid w:val="00E60492"/>
    <w:rsid w:val="00E613E3"/>
    <w:rsid w:val="00E62FC5"/>
    <w:rsid w:val="00E746C7"/>
    <w:rsid w:val="00E85EC2"/>
    <w:rsid w:val="00E94E6D"/>
    <w:rsid w:val="00EA3329"/>
    <w:rsid w:val="00EA60FF"/>
    <w:rsid w:val="00ED033F"/>
    <w:rsid w:val="00EE3162"/>
    <w:rsid w:val="00F01634"/>
    <w:rsid w:val="00F01B82"/>
    <w:rsid w:val="00F021B2"/>
    <w:rsid w:val="00F11AD2"/>
    <w:rsid w:val="00F30FA6"/>
    <w:rsid w:val="00F31C34"/>
    <w:rsid w:val="00F3462A"/>
    <w:rsid w:val="00F35071"/>
    <w:rsid w:val="00F55371"/>
    <w:rsid w:val="00F57A14"/>
    <w:rsid w:val="00F61B14"/>
    <w:rsid w:val="00F674E9"/>
    <w:rsid w:val="00F72762"/>
    <w:rsid w:val="00F84FE7"/>
    <w:rsid w:val="00F859E9"/>
    <w:rsid w:val="00FB2705"/>
    <w:rsid w:val="00FB6B0B"/>
    <w:rsid w:val="00FB7D7B"/>
    <w:rsid w:val="00FC4859"/>
    <w:rsid w:val="00FE4EF7"/>
    <w:rsid w:val="00FE5CD0"/>
    <w:rsid w:val="0BCFBB07"/>
    <w:rsid w:val="0E816762"/>
    <w:rsid w:val="13EF8C7D"/>
    <w:rsid w:val="1BA57A30"/>
    <w:rsid w:val="27FA6CF8"/>
    <w:rsid w:val="2FFF5442"/>
    <w:rsid w:val="339F6BBC"/>
    <w:rsid w:val="33DF4C66"/>
    <w:rsid w:val="36BDCBFB"/>
    <w:rsid w:val="377E320E"/>
    <w:rsid w:val="3DFF7019"/>
    <w:rsid w:val="3EB5E852"/>
    <w:rsid w:val="3FF5ED2B"/>
    <w:rsid w:val="3FFD8791"/>
    <w:rsid w:val="3FFFD629"/>
    <w:rsid w:val="43FE713B"/>
    <w:rsid w:val="47D549A3"/>
    <w:rsid w:val="56F76A51"/>
    <w:rsid w:val="576F983F"/>
    <w:rsid w:val="57EFFE21"/>
    <w:rsid w:val="57F589B5"/>
    <w:rsid w:val="57F8E07F"/>
    <w:rsid w:val="589F16AA"/>
    <w:rsid w:val="59B7B458"/>
    <w:rsid w:val="5FFB9EC1"/>
    <w:rsid w:val="5FFFCB06"/>
    <w:rsid w:val="626E5664"/>
    <w:rsid w:val="67F3CE40"/>
    <w:rsid w:val="6899A0AE"/>
    <w:rsid w:val="696FA980"/>
    <w:rsid w:val="6B79F02E"/>
    <w:rsid w:val="6CFFB469"/>
    <w:rsid w:val="6DF622DD"/>
    <w:rsid w:val="6E8B885E"/>
    <w:rsid w:val="6EEFC207"/>
    <w:rsid w:val="6EFF5DE9"/>
    <w:rsid w:val="6F35331D"/>
    <w:rsid w:val="6F6E773D"/>
    <w:rsid w:val="6FD2EDD1"/>
    <w:rsid w:val="6FE2889E"/>
    <w:rsid w:val="6FF7447F"/>
    <w:rsid w:val="77FA221F"/>
    <w:rsid w:val="77FF36E4"/>
    <w:rsid w:val="7B071B53"/>
    <w:rsid w:val="7BEF307F"/>
    <w:rsid w:val="7BF3FE96"/>
    <w:rsid w:val="7C7E5791"/>
    <w:rsid w:val="7CAF5E2A"/>
    <w:rsid w:val="7DEFF93C"/>
    <w:rsid w:val="7DFAB943"/>
    <w:rsid w:val="7DFF9316"/>
    <w:rsid w:val="7E8FD206"/>
    <w:rsid w:val="7FBF9C76"/>
    <w:rsid w:val="7FD89F34"/>
    <w:rsid w:val="7FDFCA29"/>
    <w:rsid w:val="7FEA72AB"/>
    <w:rsid w:val="7FFE0A5F"/>
    <w:rsid w:val="8DF5D876"/>
    <w:rsid w:val="98FFB546"/>
    <w:rsid w:val="99F48584"/>
    <w:rsid w:val="9FF799C9"/>
    <w:rsid w:val="9FFDBB52"/>
    <w:rsid w:val="A73EB47A"/>
    <w:rsid w:val="AA79C2C0"/>
    <w:rsid w:val="AF9F1443"/>
    <w:rsid w:val="B677CC99"/>
    <w:rsid w:val="B7FFEED2"/>
    <w:rsid w:val="BA664193"/>
    <w:rsid w:val="BDF5DD73"/>
    <w:rsid w:val="BDFE057F"/>
    <w:rsid w:val="BFDF4A9A"/>
    <w:rsid w:val="BFF7FF7A"/>
    <w:rsid w:val="BFF9D77E"/>
    <w:rsid w:val="D767BB85"/>
    <w:rsid w:val="D8F795F6"/>
    <w:rsid w:val="D98E206D"/>
    <w:rsid w:val="DCFDF3DD"/>
    <w:rsid w:val="DEACB0D9"/>
    <w:rsid w:val="DF7DD7BE"/>
    <w:rsid w:val="DFBC233A"/>
    <w:rsid w:val="DFF80233"/>
    <w:rsid w:val="E5FC7D63"/>
    <w:rsid w:val="E6963D0C"/>
    <w:rsid w:val="E9CF0AD9"/>
    <w:rsid w:val="EBF7F9B9"/>
    <w:rsid w:val="EDFF513F"/>
    <w:rsid w:val="EE77E186"/>
    <w:rsid w:val="EFF6D676"/>
    <w:rsid w:val="EFFF46E3"/>
    <w:rsid w:val="F37F12FF"/>
    <w:rsid w:val="F3E3F9BE"/>
    <w:rsid w:val="F5BF0788"/>
    <w:rsid w:val="F5DDF3C5"/>
    <w:rsid w:val="F5FBE95C"/>
    <w:rsid w:val="F72FCC59"/>
    <w:rsid w:val="F7773735"/>
    <w:rsid w:val="F77B9D4C"/>
    <w:rsid w:val="F7E71B3E"/>
    <w:rsid w:val="F7EEA8A2"/>
    <w:rsid w:val="F8BBEF76"/>
    <w:rsid w:val="F977FE78"/>
    <w:rsid w:val="F9FB237D"/>
    <w:rsid w:val="FBEABCDF"/>
    <w:rsid w:val="FBF53925"/>
    <w:rsid w:val="FBFBE06A"/>
    <w:rsid w:val="FBFD4863"/>
    <w:rsid w:val="FD3F479D"/>
    <w:rsid w:val="FD5DF9F9"/>
    <w:rsid w:val="FD7FD984"/>
    <w:rsid w:val="FDFDB895"/>
    <w:rsid w:val="FE5AB28E"/>
    <w:rsid w:val="FE8F22BE"/>
    <w:rsid w:val="FEDEB8CA"/>
    <w:rsid w:val="FEFF16EC"/>
    <w:rsid w:val="FEFF64E9"/>
    <w:rsid w:val="FEFF6A18"/>
    <w:rsid w:val="FF3B0C18"/>
    <w:rsid w:val="FF6E6F43"/>
    <w:rsid w:val="FFAC809E"/>
    <w:rsid w:val="FFCA2215"/>
    <w:rsid w:val="FFF215E2"/>
    <w:rsid w:val="FFF66430"/>
    <w:rsid w:val="FFFAD3CD"/>
    <w:rsid w:val="FFFBED94"/>
    <w:rsid w:val="FFFE8DC1"/>
    <w:rsid w:val="FFFF9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</w:rPr>
  </w:style>
  <w:style w:type="paragraph" w:styleId="3">
    <w:name w:val="heading 1"/>
    <w:basedOn w:val="4"/>
    <w:next w:val="1"/>
    <w:qFormat/>
    <w:uiPriority w:val="9"/>
    <w:pPr>
      <w:keepNext/>
      <w:keepLines/>
      <w:spacing w:line="700" w:lineRule="exact"/>
      <w:ind w:firstLine="880" w:firstLineChars="200"/>
    </w:pPr>
    <w:rPr>
      <w:rFonts w:ascii="Times New Roman" w:hAnsi="Times New Roman" w:eastAsia="黑体"/>
      <w:kern w:val="32"/>
      <w:szCs w:val="32"/>
    </w:rPr>
  </w:style>
  <w:style w:type="paragraph" w:styleId="2">
    <w:name w:val="heading 2"/>
    <w:basedOn w:val="3"/>
    <w:next w:val="5"/>
    <w:semiHidden/>
    <w:unhideWhenUsed/>
    <w:qFormat/>
    <w:uiPriority w:val="9"/>
    <w:pPr>
      <w:spacing w:line="413" w:lineRule="auto"/>
      <w:outlineLvl w:val="1"/>
    </w:pPr>
    <w:rPr>
      <w:rFonts w:ascii="Arial" w:hAnsi="Arial" w:eastAsia="CESI楷体-GB2312"/>
    </w:rPr>
  </w:style>
  <w:style w:type="paragraph" w:styleId="5">
    <w:name w:val="heading 3"/>
    <w:basedOn w:val="1"/>
    <w:next w:val="1"/>
    <w:semiHidden/>
    <w:unhideWhenUsed/>
    <w:qFormat/>
    <w:uiPriority w:val="9"/>
    <w:pPr>
      <w:keepNext/>
      <w:keepLines/>
      <w:spacing w:line="413" w:lineRule="auto"/>
      <w:outlineLvl w:val="2"/>
    </w:pPr>
    <w:rPr>
      <w:rFonts w:eastAsia="仿宋_GB2312"/>
      <w:b/>
      <w:sz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next w:val="1"/>
    <w:qFormat/>
    <w:uiPriority w:val="10"/>
    <w:pPr>
      <w:jc w:val="center"/>
      <w:outlineLvl w:val="0"/>
    </w:pPr>
    <w:rPr>
      <w:rFonts w:ascii="Arial" w:hAnsi="Arial" w:eastAsia="仿宋_GB2312" w:cstheme="minorBidi"/>
      <w:sz w:val="32"/>
      <w:szCs w:val="44"/>
      <w:lang w:val="en-US" w:eastAsia="zh-CN" w:bidi="ar-SA"/>
    </w:rPr>
  </w:style>
  <w:style w:type="paragraph" w:styleId="6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7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</w:rPr>
  </w:style>
  <w:style w:type="character" w:customStyle="1" w:styleId="11">
    <w:name w:val="页眉 Char"/>
    <w:basedOn w:val="10"/>
    <w:link w:val="7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395</Words>
  <Characters>2256</Characters>
  <Lines>18</Lines>
  <Paragraphs>5</Paragraphs>
  <TotalTime>2</TotalTime>
  <ScaleCrop>false</ScaleCrop>
  <LinksUpToDate>false</LinksUpToDate>
  <CharactersWithSpaces>2646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2024-12-02T05:06:00Z</dcterms:created>
  <dc:creator>zyy15937530099@outlook.com</dc:creator>
  <cp:lastModifiedBy>greatwall</cp:lastModifiedBy>
  <cp:lastPrinted>2025-03-05T17:06:00Z</cp:lastPrinted>
  <dcterms:modified xsi:type="dcterms:W3CDTF">2025-03-06T17:23:11Z</dcterms:modified>
  <cp:revision>296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