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  <w:lang w:eastAsia="zh-CN"/>
        </w:rPr>
        <w:t>平顶山市推动城市公共交通高质量发展目标任务分解台账</w:t>
      </w:r>
    </w:p>
    <w:bookmarkEnd w:id="0"/>
    <w:tbl>
      <w:tblPr>
        <w:tblStyle w:val="4"/>
        <w:tblW w:w="13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665"/>
        <w:gridCol w:w="6480"/>
        <w:gridCol w:w="1718"/>
        <w:gridCol w:w="2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重点任务</w:t>
            </w:r>
          </w:p>
        </w:tc>
        <w:tc>
          <w:tcPr>
            <w:tcW w:w="8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任务分解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建立以规划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先行为核心的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发展格局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强化规划</w:t>
            </w:r>
          </w:p>
          <w:p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衔接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与实施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突出公交优先发展战略，注重城市综合交通体系规划、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专项规划与国土空间总体规划的协调衔接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充分体现以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为导向的城市发展和土地配置模式，与规划居民小区、商业街区无缝衔接，实现“出行即服务”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涉及空间利用的相关内容统筹落实到国土空间规划“一张图”实施管控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，依据国土空间总体规划，在国土空间详细规划中，统筹实施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场站用地需求，提高节约集约水平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在国土空间规划体检评估中，开展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专项评估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2024年11月底前完成并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完成《平顶山市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专项规划》编制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9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建立以规划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先行为核心的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发展格局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</w:t>
            </w:r>
          </w:p>
          <w:p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衔接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加大用地供给、财政政策、设施建设、道路通行等方面的支持力度，将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设施用地纳入土地利用年度计划优先保障落实，将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发展资金纳入年度财政预算，健全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专项规划落地实施的各项保障机制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市自然资源和规划局、市住房和城乡建设局、市交通运输局、市城市管理局、市财政局、市公安局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加强相关部门协调对接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，明确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过程监管，确保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基础设施建设、配套政策等能够按规划实施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市自然资源和规划局、市住房和城乡建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城市公共交通专项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规划落实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评估机制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，压实工作责任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</w:t>
            </w: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建设功能齐全的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基础设施保障体系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加大公交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基础设施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建设力度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加快城市综合客运枢纽、公交枢纽和公交首末站的规划建设，配套建设储能充电设施和公交驿站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市发展改革委、市自然资源和规划局、市住房和城乡建设局、市城市管理局、市交通运输局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新建或改扩建居民小区、大型办公区、商业区、高校园区、大型公共活动场所等重点区域时，要根据规划人口发展规模和空间分布，合理配套建设公交首末站或枢纽站及充电设施，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设置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微循环公交、定制公交等停靠站点，做到同步规划、同步设计、同步建设、同步验收、同步交付使用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市交通运输局、市住房和城乡建设局、市城市管理局、市自然资源和规划局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平顶山东部客运枢纽站、平顶山西站交通综合体、梅园路公交枢纽站停车场、余沟停车场等场站建成投入使用。中心城区公交站点500米覆盖率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100%，进场率达到100%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市交通运输局、市住房和城乡建设局、市自然资源和规划局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建设功能齐全的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基础设施保障体系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改善公交站点乘车环境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完善城市公交站点候乘设施，建设标准化站台，开展无障碍改造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市交通运输局、市住房和城乡建设局、市自然资源和规划局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改扩建城市主干道时按照“三有两无”（有雨棚、有座位、有站台、无障碍、无积水）标准同步建设港湾式公交停靠站。新建或改扩建城市主干道港湾式公交停靠站设置比例达到100%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保障公交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通行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制定城市公交专用车道设置导则，优先在城市主干道设置公交专用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道，新建或改扩建单向3车道（含）以上的道路原则上全部设置公交专用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道，加快构建连续、成网的公交专用道路网络。2024年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底前，完成市区贯通建设路、矿工路、平安大道的公交专用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道划设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市公安局、市交通运输局、市住房和城乡建设局、市城市管理局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在符合条件的路口设置公交专用待行区，同步配置公交专用信号灯，科学选用限行交通管制措施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科学设定专用时段，在保证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运行速度的前提下，可以允许单位班车、专用校车、大型营运客车等大运力载客车辆使用公交专用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道，提高道路资源利用率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装备交通违法取证记录系统，加强对干扰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优先通行等行为的监督管理，切实保障公交优先通行权，提升公交正点率和运营时速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构建高标杆的城市公共交通服务系统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绿色发展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新增和更新新能源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比例达到100%（不包括应急救援车辆）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同步推进充电（站）桩、加氢站等配套设施建设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市交通运输局、市发展改革委、市财政局、市商务局、市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工业和信息化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局、市城市管理局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中心城区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梯次更新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600台、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机动化出行分担率不低于40%，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其他城区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城市绿色出行比例不低于60%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</w:t>
            </w: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利用自身资源发展城市绿色货运配送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优化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公共交通</w:t>
            </w:r>
          </w:p>
          <w:p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组织模式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7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完善城市公交线网优化调整机制，运用大数据开展公众出行规律和客流特征分析，依据专项规划定期优化调整城市公交线网和站点布局，织密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公交线网、畅通末端循环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7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市交通运输局、市城市管理局、市公安局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7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密切关注公众出行需求，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重大节假日、学生开学放学等关键时段，强化公交与学校、高铁站、客运站的精准衔接，科学安排发车频次，适时局部调整线路、车型，积极开展定制、摆渡等服务，提升公交运输组织效率、群众出行满意度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7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构建高标杆的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服务系统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加快智慧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公交建设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加快智慧公交建设，实现客流分析、优化线网、智能调度、智能排班、安全监控、成本管控、精准管理等功能，提升城市公交运营效能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工业和信息化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行政审批和政务信息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普及电子站牌、手机APP、微信小程序、导航软件等信息服务功能，为公众提供准确、可靠的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实时位置、预计到站时间等信息服务。电子站牌设置率达到15%以上，来车信息实时预报覆盖率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100%，乘客满意度不低于90%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提升适老化服务水平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Ansi="宋体"/>
                <w:sz w:val="28"/>
                <w:szCs w:val="28"/>
                <w:lang w:val="en-US" w:eastAsia="zh-CN" w:bidi="ar"/>
              </w:rPr>
              <w:t>加快城市公共交通基础设施适老化改造，提高无障碍公交站台设置比例</w:t>
            </w:r>
            <w:r>
              <w:rPr>
                <w:rStyle w:val="8"/>
                <w:rFonts w:hAnsi="宋体"/>
                <w:sz w:val="28"/>
                <w:szCs w:val="28"/>
                <w:lang w:val="en-US" w:eastAsia="zh-CN" w:bidi="ar"/>
              </w:rPr>
              <w:t>，新建、改建公交站台基本为无障碍站台，新增无障碍站台设置比例达到80%以上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购车计划时，应按比例购置低地板及低入口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。新增和更新低地板及低入口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比率达到3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0%以上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突出公交公益属性，积极打造敬老爱老、拥军优属等公交线路服务品牌。敬老爱老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线路设置比率达到15%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落实特殊群体乘车优待政策，逐步取消老年卡年审，加快推进社会保障卡（含电子社保卡）在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领域的应用，实现公交等刷社会保障卡乘车出行，推行刷脸乘车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构建高标杆的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服务系统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合理引导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公众出行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组织开展绿色出行宣传月和公交出行宣传周等主题活动，营造优选公交、绿色出行的良好氛围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市交通运输局、市公安局、市城市管理局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合交通运行状况研究出台不同区域通行管理、停车管理等政策，制定分区域、分路段、分时段、分车型的差异化停车收费政策，对城市核心区、拥堵区域的出行停车服务，可实行较高收费标准，降低小汽车在相关区域的使用强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市公安局、市城市管理局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深化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文明建设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行业风采展示和关爱司乘人员活动，提升从业人员职业自豪感和归属感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职工技能培训和职业素质教育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开展“文明服务我出彩、群众满意在窗口”“文明公交　情满公交”“廉政文化进车厢”等活动，培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优秀企业、品牌线路和服务明星，提升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从业人员文明素养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规范的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持续发展保障机制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转型升级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城市公交企业创新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“公益性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差异化收费”发展模式，促进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规模化经营、集约化管理，有效提升企业资源要素配置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效率，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持续提升企业现代化治理能力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市交通运输局、市发展改革委、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政府办公室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市自然资源和规划局、市财政局、市市场监管局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支持公交场站的综合利用开发和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业务拓展，做优公交主业，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依法依规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发展三产副业，增强企业“造血”功能，持续提升企业可持续发展能力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加强银企合作，创新金融服务，鼓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励有条件的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企业采用发行专项债、中期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票据等多元化融资方式，拓宽融资渠道，保障持续的经营性流动资金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政府办公室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支持符合条件的公交票款收益权资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产证券化。鼓励金融机构在依法合规、风险可控的前提下，以市场化为导向改进授信评价机制，为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供融资服务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规范的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持续发展保障机制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建立完善财政扶持机制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强化城市公交优先发展政策保障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，将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发展资金作为市县级财政事权的支出责任纳入公共财政体系，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加大对公交运营、场站建设和改造、新能源车辆推广、充电加氢设施建设、信息化水平提升和适老化改造等方面的支持力度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市财政局、市发展改革委、市审计局、市交通运输局、市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工业和信息化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加快建立政府购买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服务制度。将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发展资金纳入年度财政预算。制定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成本规制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财政补贴补偿制度，建立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成本费用年度审计与评价机制，科学划定政策性亏损和经营性亏损，合理界定公共财政补贴范围并及时足额拨付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市财政局、市发展改革委、市审计局、市交通运输局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制定低票价、减免票政策时，要充分考虑本地财力情况，对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企业因承担政府指令性任务等形成的政策性亏损，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结合实际给予补贴和补偿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全面落实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依法享受减征或免征有关税费政策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市税务局、市交通运输局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规范的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持续发展保障机制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完善公交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票价体系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票价动态评估和调整机制，构建“政府可负担、企业可持续、百姓可承受”的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票制票价体系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市发展改革委、市交通运输局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定期评估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运营成本和票价水平，综合考虑社会承受能力、企业运营成本和交通供求状况以及财政承担能力，根据服务质量、运输距离以及换乘方式等因素，建立多层次、差别化的价格体系，实现优质优价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市发展改革委、市交通运输局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对定制公交等线路实行政府指导价或市场调节价。对长距离城市公共汽车线路，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探索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实行阶梯票价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票价与企业运营成本、政府补贴的联动机制，促进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持续健康发展</w:t>
            </w:r>
          </w:p>
        </w:tc>
        <w:tc>
          <w:tcPr>
            <w:tcW w:w="17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保障公交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合法权益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建立健全与劳动力市场基本适应，与企业经济效率和劳动生产率挂钩的公交从业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工资决定机制和合理增长机制，完善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企业工资分配监管体制，优先保障职工工资发放，确保职工收入原则上不低于当地社会平均工资水平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市人力资源和社会保障局、市发展改革委、市总工会、市交通运输局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规范的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持续发展保障机制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保障公交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合法权益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不断改善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从业人员生产生活环境，加强对从业人员的劳动保护，推进驾驶员休息室、爱心驿站、便利店建设，定期开展驾驶员体检和心理健康辅导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制定专项方案，逐步妥善化解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欠缴职工“五险一金”问题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人力资源和社会保障局、市财政局、市交通运输局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建立服务质量评价机制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根据《平顶山市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公共汽车客运条例》，制定完善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服务规范标准及服务质量考评办法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每半年对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的运营秩序、服务质量进行评价，并向社会公布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加强用电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政策支持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完善峰谷分时电价政策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鼓励通过多种形式对新能源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充电给予政策支持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市发展改革委、平顶山供电公司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在保障新能源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夜间充电执行低谷电价的基础上，结合新能源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日间补电需求，可在日间设置部分时段执行低谷电价，以引导新能源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更多在低谷时段充电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利用地方政府专项债券等工具，支持符合条件的公共汽车场站充换电基础设施建设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市发展改革委、平顶山供电公司、市城市管理局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构筑以安全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为底线的城市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保障系统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责任落实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安全管理和行业管理部门切实履行职责，加强对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安全生产的监管，压实企业安全生产主体责任。健全安全生产责任清单，将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领域安全生产有关工作纳入每季度安全生产专题会议统一研究部署。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督促城市公交企业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全安全管理机构，配备专职安全生产管理人员，制定安全生产管理制度，加大安全经费投入，按要求足额提取安全生产经费并平均逐月提取。定期开展安全检查和隐患排查，消除安全隐患，确保公交运营安全。公交行车责任事故死亡率不高于0.05人/百万公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市交通运输局、市应急管理局、市公安局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完善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企业安全生产风险辨识管控和隐患排查治理双重预防机制，动态更新完善风险辨识清单，定期开展运营安全隐患排查治理。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企业双重预防体系建设覆盖率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达到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市交通运输局、市应急管理局、市公安局、市委网信办、市信访局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加强重大风险防控，强化跨河桥梁、临崖路段、涵洞隧道、铁路道口等交通安全设施检查，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对安全隐患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闭环管理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市交通运输局、市住房和城乡建设局、市公安局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强化安全教育培训和车辆安全检测，增强全员安全意识，落实全员安全责任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加强对公众的安全宣传教育，严禁扰乱驾驶员安全运营行为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构筑以安全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为底线的城市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保障系统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强化安全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责任落实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立交通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、公安、应急管理、网信、信访等部门共同参与的城市公交行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业风险研判处置联动机制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每季度至少联合开展1次行业风险分析研判，合力监督指导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企业做好反恐、安检、治安防范、消防安全管理和信访稳定等相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关工作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2024年6月底前完成并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市交通运输局、市公安局、市应急管理局、市委网信办、市信访局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应配备安装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卫星定位和视频监控设备，并确保设备运行正常、数据实时上传、报警信息及时处置。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车载智能视频监控系统安装率、驾驶区域防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隔离设施安装率均达到100%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市交通运输局、市应急管理局、市公安局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城市公交车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、站台和换乘通道等重点区域的安全监控，监控数据按规定保存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分级制定完善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应急预案，建立突发事件应急处置机制，每年至少开展1次综合应急预案演练或专项应急预案演练，每半年至少开展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次现场处置方案演练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督促城市公交企业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完善极端天气、突发事件情况下的停运机制，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细化停运标准，按规定发布停运信息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不具备安全运营条件时，坚决及时停运，严禁驾驶员冒险作业、涉险运营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2024年6月底前完成并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加快落实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用地综合开发政策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积极推动新增、既有用地综合开发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在符合国土空间详细规划、不改变用地性质、优先保障场站交通服务基本功能的前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提下，允许新增城市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车枢纽场站配套一定比例的附属商业面积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支持现有的城市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车枢纽站、首末站、停保场等，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在不改变用地性质、优先保障场站交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通服务基本功能的前提下，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利用场站内部分闲置设施开展社会化商业服务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底前完成并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市自然资源和规划局、市住房和城乡建设局、市交通运输局、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国防动员办公室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鼓励有条件的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场站实施地上地下空间综合开发。实施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场站综合开发的，应依据国土空间详细规划，将相关设施规划建设需求纳入土地供应条件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用地进行地上地下空间综合开发的，应根据设施功能分层设定建设用地使用权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符合国土空间详细规划的，在保障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服务基本功能的前提下，允许适当提高容积率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用地实施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综合开发，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企业单独开发的，相关收益用于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企业的可持续发展；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城市公交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企业与其他开发主体共同实施综合开发，或其他开发主体单独实施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综合开发的，相关收益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按规定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反哺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城市公共交通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可持续发展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长期推进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市交通运输局、市财政局、市自然资源和规划局、市住房和城乡建设局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firstLine="632" w:firstLineChars="200"/>
        <w:textAlignment w:val="auto"/>
        <w:rPr>
          <w:rFonts w:hint="eastAsia" w:ascii="仿宋_GB2312"/>
          <w:color w:val="auto"/>
          <w:u w:val="none"/>
          <w:lang w:eastAsia="zh-CN"/>
        </w:rPr>
      </w:pPr>
    </w:p>
    <w:p>
      <w:pPr>
        <w:rPr>
          <w:rFonts w:hint="eastAsia" w:ascii="仿宋_GB2312"/>
          <w:sz w:val="28"/>
          <w:szCs w:val="28"/>
          <w:lang w:val="en-GB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40" w:h="11907" w:orient="landscape"/>
          <w:pgMar w:top="1587" w:right="1417" w:bottom="1474" w:left="1417" w:header="851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chapSep="emDash"/>
          <w:cols w:space="720" w:num="1"/>
          <w:rtlGutter w:val="0"/>
          <w:docGrid w:type="linesAndChars" w:linePitch="589" w:charSpace="-842"/>
        </w:sectPr>
      </w:pPr>
      <w:r>
        <w:rPr>
          <w:rFonts w:hint="eastAsia" w:ascii="仿宋_GB2312"/>
          <w:sz w:val="28"/>
          <w:szCs w:val="28"/>
          <w:lang w:val="en-GB" w:eastAsia="zh-CN"/>
        </w:rPr>
        <w:t>备注：以上重点任务均涉及各县（市、区）政府（管委会），责任单位中不再列举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hint="eastAsia" w:ascii="宋体" w:eastAsia="宋体"/>
      </w:rPr>
    </w:pPr>
    <w:r>
      <w:rPr>
        <w:rStyle w:val="6"/>
        <w:rFonts w:hint="eastAsia" w:ascii="宋体" w:eastAsia="宋体"/>
        <w:sz w:val="28"/>
        <w:szCs w:val="28"/>
      </w:rPr>
      <w:t xml:space="preserve">— </w:t>
    </w:r>
    <w:r>
      <w:rPr>
        <w:rStyle w:val="6"/>
        <w:rFonts w:hint="eastAsia" w:ascii="宋体" w:eastAsia="宋体"/>
        <w:sz w:val="28"/>
        <w:szCs w:val="28"/>
      </w:rPr>
      <w:fldChar w:fldCharType="begin"/>
    </w:r>
    <w:r>
      <w:rPr>
        <w:rStyle w:val="6"/>
        <w:rFonts w:hint="eastAsia" w:ascii="宋体" w:eastAsia="宋体"/>
        <w:sz w:val="28"/>
        <w:szCs w:val="28"/>
      </w:rPr>
      <w:instrText xml:space="preserve"> PAGE </w:instrText>
    </w:r>
    <w:r>
      <w:rPr>
        <w:rStyle w:val="6"/>
        <w:rFonts w:hint="eastAsia" w:ascii="宋体" w:eastAsia="宋体"/>
        <w:sz w:val="28"/>
        <w:szCs w:val="28"/>
      </w:rPr>
      <w:fldChar w:fldCharType="separate"/>
    </w:r>
    <w:r>
      <w:rPr>
        <w:rStyle w:val="6"/>
        <w:rFonts w:ascii="宋体" w:eastAsia="宋体"/>
        <w:sz w:val="28"/>
        <w:szCs w:val="28"/>
      </w:rPr>
      <w:t>1</w:t>
    </w:r>
    <w:r>
      <w:rPr>
        <w:rStyle w:val="6"/>
        <w:rFonts w:hint="eastAsia" w:ascii="宋体" w:eastAsia="宋体"/>
        <w:sz w:val="28"/>
        <w:szCs w:val="28"/>
      </w:rPr>
      <w:fldChar w:fldCharType="end"/>
    </w:r>
    <w:r>
      <w:rPr>
        <w:rStyle w:val="6"/>
        <w:rFonts w:hint="eastAsia" w:asci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eastAsia="宋体"/>
      </w:rPr>
    </w:pPr>
    <w:r>
      <w:rPr>
        <w:rFonts w:hint="eastAsia" w:ascii="仿宋_GB2312"/>
        <w:sz w:val="28"/>
        <w:szCs w:val="28"/>
      </w:rPr>
      <w:t xml:space="preserve">  </w:t>
    </w:r>
    <w:r>
      <w:rPr>
        <w:rFonts w:hint="eastAsia" w:ascii="宋体" w:eastAsia="宋体"/>
        <w:sz w:val="28"/>
        <w:szCs w:val="28"/>
      </w:rPr>
      <w:t xml:space="preserve">— </w:t>
    </w:r>
    <w:r>
      <w:rPr>
        <w:rStyle w:val="6"/>
        <w:rFonts w:hint="eastAsia" w:ascii="宋体" w:eastAsia="宋体"/>
        <w:sz w:val="28"/>
        <w:szCs w:val="28"/>
      </w:rPr>
      <w:fldChar w:fldCharType="begin"/>
    </w:r>
    <w:r>
      <w:rPr>
        <w:rStyle w:val="6"/>
        <w:rFonts w:hint="eastAsia" w:ascii="宋体" w:eastAsia="宋体"/>
        <w:sz w:val="28"/>
        <w:szCs w:val="28"/>
      </w:rPr>
      <w:instrText xml:space="preserve"> PAGE </w:instrText>
    </w:r>
    <w:r>
      <w:rPr>
        <w:rStyle w:val="6"/>
        <w:rFonts w:hint="eastAsia" w:ascii="宋体" w:eastAsia="宋体"/>
        <w:sz w:val="28"/>
        <w:szCs w:val="28"/>
      </w:rPr>
      <w:fldChar w:fldCharType="separate"/>
    </w:r>
    <w:r>
      <w:rPr>
        <w:rStyle w:val="6"/>
        <w:rFonts w:ascii="宋体" w:eastAsia="宋体"/>
        <w:sz w:val="28"/>
        <w:szCs w:val="28"/>
      </w:rPr>
      <w:t>2</w:t>
    </w:r>
    <w:r>
      <w:rPr>
        <w:rStyle w:val="6"/>
        <w:rFonts w:hint="eastAsia" w:ascii="宋体" w:eastAsia="宋体"/>
        <w:sz w:val="28"/>
        <w:szCs w:val="28"/>
      </w:rPr>
      <w:fldChar w:fldCharType="end"/>
    </w:r>
    <w:r>
      <w:rPr>
        <w:rFonts w:hint="eastAsia" w:asci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6BFABC"/>
    <w:rsid w:val="7D9F722A"/>
    <w:rsid w:val="9D6BF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11"/>
    <w:basedOn w:val="5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2024-07-12T10:03:00Z</dcterms:created>
  <dc:creator>greatwall</dc:creator>
  <cp:lastModifiedBy>greatwall</cp:lastModifiedBy>
  <dcterms:modified xsi:type="dcterms:W3CDTF">2024-07-12T10:05:16Z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