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after="157" w:afterLines="50" w:line="440" w:lineRule="exact"/>
        <w:jc w:val="center"/>
        <w:textAlignment w:val="auto"/>
        <w:rPr>
          <w:rFonts w:hint="eastAsia"/>
          <w:b/>
          <w:bCs/>
          <w:spacing w:val="0"/>
          <w:sz w:val="28"/>
          <w:szCs w:val="28"/>
          <w:highlight w:val="none"/>
        </w:rPr>
      </w:pPr>
      <w:r>
        <w:rPr>
          <w:rFonts w:hint="eastAsia"/>
          <w:b/>
          <w:bCs/>
          <w:spacing w:val="0"/>
          <w:sz w:val="28"/>
          <w:szCs w:val="28"/>
          <w:highlight w:val="none"/>
          <w:lang w:eastAsia="zh-CN"/>
        </w:rPr>
        <w:t>平顶山市第十一中学学生厨房改造工程</w:t>
      </w:r>
      <w:r>
        <w:rPr>
          <w:rFonts w:hint="eastAsia"/>
          <w:b/>
          <w:bCs/>
          <w:spacing w:val="0"/>
          <w:sz w:val="28"/>
          <w:szCs w:val="28"/>
          <w:highlight w:val="none"/>
        </w:rPr>
        <w:t>竞争性磋商公告</w:t>
      </w:r>
    </w:p>
    <w:p>
      <w:pPr>
        <w:bidi w:val="0"/>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80" w:type="dxa"/>
            <w:tcBorders>
              <w:bottom w:val="nil"/>
            </w:tcBorders>
            <w:noWrap w:val="0"/>
            <w:vAlign w:val="center"/>
          </w:tcPr>
          <w:p>
            <w:pPr>
              <w:bidi w:val="0"/>
              <w:ind w:left="0" w:leftChars="0" w:firstLine="420" w:firstLineChars="200"/>
              <w:rPr>
                <w:rFonts w:hint="eastAsia"/>
                <w:szCs w:val="20"/>
                <w:lang w:eastAsia="zh-CN"/>
              </w:rPr>
            </w:pPr>
            <w:r>
              <w:rPr>
                <w:rFonts w:hint="eastAsia"/>
                <w:szCs w:val="20"/>
                <w:lang w:eastAsia="zh-CN"/>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8580" w:type="dxa"/>
            <w:tcBorders>
              <w:top w:val="nil"/>
            </w:tcBorders>
            <w:noWrap w:val="0"/>
            <w:vAlign w:val="center"/>
          </w:tcPr>
          <w:p>
            <w:pPr>
              <w:bidi w:val="0"/>
              <w:ind w:left="0" w:leftChars="0" w:firstLine="420" w:firstLineChars="200"/>
              <w:rPr>
                <w:rFonts w:hint="eastAsia"/>
                <w:szCs w:val="20"/>
              </w:rPr>
            </w:pPr>
            <w:r>
              <w:rPr>
                <w:rFonts w:hint="eastAsia"/>
                <w:szCs w:val="20"/>
                <w:highlight w:val="none"/>
                <w:lang w:eastAsia="zh-CN"/>
              </w:rPr>
              <w:t>平顶山市第十一中学学生厨房改造工程</w:t>
            </w:r>
            <w:r>
              <w:rPr>
                <w:rFonts w:hint="eastAsia"/>
                <w:szCs w:val="20"/>
              </w:rPr>
              <w:t>的潜在</w:t>
            </w:r>
            <w:r>
              <w:rPr>
                <w:rFonts w:hint="eastAsia"/>
                <w:szCs w:val="20"/>
                <w:lang w:val="en-US" w:eastAsia="zh-CN"/>
              </w:rPr>
              <w:t>供应商</w:t>
            </w:r>
            <w:r>
              <w:rPr>
                <w:rFonts w:hint="eastAsia"/>
                <w:szCs w:val="20"/>
              </w:rPr>
              <w:t>应在</w:t>
            </w:r>
            <w:r>
              <w:rPr>
                <w:rFonts w:hint="eastAsia"/>
                <w:szCs w:val="20"/>
                <w:highlight w:val="none"/>
                <w:lang w:eastAsia="zh-CN"/>
              </w:rPr>
              <w:t>平顶山轩启工程咨询有限公司</w:t>
            </w:r>
            <w:r>
              <w:rPr>
                <w:rFonts w:hint="eastAsia"/>
                <w:szCs w:val="20"/>
              </w:rPr>
              <w:t>获取</w:t>
            </w:r>
            <w:r>
              <w:rPr>
                <w:rFonts w:hint="eastAsia"/>
                <w:szCs w:val="20"/>
                <w:lang w:val="en-US" w:eastAsia="zh-CN"/>
              </w:rPr>
              <w:t>竞争性磋商文件</w:t>
            </w:r>
            <w:r>
              <w:rPr>
                <w:rFonts w:hint="eastAsia"/>
                <w:szCs w:val="20"/>
              </w:rPr>
              <w:t>，并于</w:t>
            </w:r>
            <w:r>
              <w:rPr>
                <w:rFonts w:hint="eastAsia"/>
                <w:szCs w:val="20"/>
                <w:lang w:val="en-US" w:eastAsia="zh-CN"/>
              </w:rPr>
              <w:t>2023</w:t>
            </w:r>
            <w:r>
              <w:rPr>
                <w:rFonts w:hint="eastAsia"/>
                <w:szCs w:val="20"/>
              </w:rPr>
              <w:t>年</w:t>
            </w:r>
            <w:r>
              <w:rPr>
                <w:rFonts w:hint="eastAsia"/>
                <w:szCs w:val="20"/>
                <w:u w:val="single"/>
                <w:lang w:val="en-US" w:eastAsia="zh-CN"/>
              </w:rPr>
              <w:t xml:space="preserve"> 6 </w:t>
            </w:r>
            <w:r>
              <w:rPr>
                <w:rFonts w:hint="eastAsia" w:ascii="宋体" w:hAnsi="宋体" w:eastAsia="宋体" w:cs="宋体"/>
                <w:szCs w:val="20"/>
              </w:rPr>
              <w:t>月</w:t>
            </w:r>
            <w:r>
              <w:rPr>
                <w:rFonts w:hint="eastAsia" w:cs="宋体"/>
                <w:szCs w:val="20"/>
                <w:u w:val="single"/>
                <w:lang w:val="en-US" w:eastAsia="zh-CN"/>
              </w:rPr>
              <w:t xml:space="preserve"> 19 </w:t>
            </w:r>
            <w:r>
              <w:rPr>
                <w:rFonts w:hint="eastAsia" w:ascii="宋体" w:hAnsi="宋体" w:eastAsia="宋体" w:cs="宋体"/>
                <w:szCs w:val="20"/>
              </w:rPr>
              <w:t>日</w:t>
            </w:r>
            <w:r>
              <w:rPr>
                <w:rFonts w:hint="eastAsia" w:cs="宋体"/>
                <w:szCs w:val="20"/>
                <w:u w:val="single"/>
                <w:lang w:val="en-US" w:eastAsia="zh-CN"/>
              </w:rPr>
              <w:t xml:space="preserve"> 9 </w:t>
            </w:r>
            <w:r>
              <w:rPr>
                <w:rFonts w:hint="eastAsia" w:ascii="宋体" w:hAnsi="宋体" w:eastAsia="宋体" w:cs="宋体"/>
                <w:szCs w:val="20"/>
                <w:lang w:eastAsia="zh-CN"/>
              </w:rPr>
              <w:t>时</w:t>
            </w:r>
            <w:r>
              <w:rPr>
                <w:rFonts w:hint="eastAsia"/>
                <w:szCs w:val="20"/>
                <w:u w:val="single"/>
              </w:rPr>
              <w:t xml:space="preserve"> </w:t>
            </w:r>
            <w:r>
              <w:rPr>
                <w:rFonts w:hint="eastAsia"/>
                <w:szCs w:val="20"/>
                <w:u w:val="single"/>
                <w:lang w:val="en-US" w:eastAsia="zh-CN"/>
              </w:rPr>
              <w:t>30</w:t>
            </w:r>
            <w:r>
              <w:rPr>
                <w:rFonts w:hint="eastAsia"/>
                <w:szCs w:val="20"/>
                <w:u w:val="single"/>
              </w:rPr>
              <w:t xml:space="preserve"> </w:t>
            </w:r>
            <w:r>
              <w:rPr>
                <w:rFonts w:hint="eastAsia"/>
                <w:szCs w:val="20"/>
              </w:rPr>
              <w:t>分（北京时间）前提交</w:t>
            </w:r>
            <w:r>
              <w:rPr>
                <w:rFonts w:hint="eastAsia"/>
                <w:szCs w:val="20"/>
                <w:lang w:val="en-US" w:eastAsia="zh-CN"/>
              </w:rPr>
              <w:t>响应文件</w:t>
            </w:r>
            <w:r>
              <w:rPr>
                <w:rFonts w:hint="eastAsia"/>
                <w:szCs w:val="20"/>
              </w:rPr>
              <w:t>。</w:t>
            </w:r>
          </w:p>
        </w:tc>
      </w:tr>
    </w:tbl>
    <w:p>
      <w:pPr>
        <w:bidi w:val="0"/>
      </w:pPr>
    </w:p>
    <w:p>
      <w:pPr>
        <w:keepNext w:val="0"/>
        <w:keepLines w:val="0"/>
        <w:pageBreakBefore w:val="0"/>
        <w:widowControl w:val="0"/>
        <w:kinsoku/>
        <w:wordWrap/>
        <w:overflowPunct/>
        <w:topLinePunct w:val="0"/>
        <w:autoSpaceDE/>
        <w:autoSpaceDN/>
        <w:bidi w:val="0"/>
        <w:adjustRightInd/>
        <w:snapToGrid/>
        <w:spacing w:before="120" w:after="120"/>
        <w:textAlignment w:val="auto"/>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一、</w:t>
      </w:r>
      <w:r>
        <w:rPr>
          <w:rFonts w:hint="eastAsia" w:ascii="黑体" w:hAnsi="黑体" w:eastAsia="黑体" w:cs="黑体"/>
          <w:sz w:val="24"/>
          <w:szCs w:val="22"/>
        </w:rPr>
        <w:t>项目</w:t>
      </w:r>
      <w:r>
        <w:rPr>
          <w:rFonts w:hint="eastAsia" w:ascii="黑体" w:hAnsi="黑体" w:eastAsia="黑体" w:cs="黑体"/>
          <w:sz w:val="24"/>
          <w:szCs w:val="22"/>
          <w:lang w:val="en-US" w:eastAsia="zh-CN"/>
        </w:rPr>
        <w:t>基本情况</w:t>
      </w:r>
    </w:p>
    <w:p>
      <w:pPr>
        <w:bidi w:val="0"/>
        <w:ind w:left="0" w:leftChars="0" w:firstLine="420" w:firstLineChars="200"/>
        <w:rPr>
          <w:rFonts w:hint="default"/>
          <w:lang w:val="en-US" w:eastAsia="zh-CN"/>
        </w:rPr>
      </w:pPr>
      <w:r>
        <w:rPr>
          <w:rFonts w:hint="eastAsia"/>
          <w:lang w:val="en-US" w:eastAsia="zh-CN"/>
        </w:rPr>
        <w:t>1．</w:t>
      </w:r>
      <w:r>
        <w:rPr>
          <w:rFonts w:hint="eastAsia"/>
        </w:rPr>
        <w:t>项目名称：</w:t>
      </w:r>
      <w:r>
        <w:rPr>
          <w:rFonts w:hint="eastAsia"/>
          <w:sz w:val="21"/>
          <w:szCs w:val="21"/>
          <w:lang w:eastAsia="zh-CN"/>
        </w:rPr>
        <w:t>平顶山市第十一中学学生厨房改造工程</w:t>
      </w:r>
    </w:p>
    <w:p>
      <w:pPr>
        <w:bidi w:val="0"/>
        <w:ind w:left="0" w:leftChars="0" w:firstLine="420" w:firstLineChars="200"/>
        <w:rPr>
          <w:rFonts w:hint="default" w:eastAsia="宋体"/>
          <w:lang w:val="en-US" w:eastAsia="zh-CN"/>
        </w:rPr>
      </w:pPr>
      <w:r>
        <w:rPr>
          <w:rFonts w:hint="eastAsia"/>
          <w:lang w:val="en-US" w:eastAsia="zh-CN"/>
        </w:rPr>
        <w:t>2．</w:t>
      </w:r>
      <w:r>
        <w:rPr>
          <w:rFonts w:hint="eastAsia"/>
          <w:szCs w:val="22"/>
          <w:lang w:val="en-US" w:eastAsia="zh-CN"/>
        </w:rPr>
        <w:t>采购方式：竞争性磋商</w:t>
      </w:r>
    </w:p>
    <w:p>
      <w:pPr>
        <w:bidi w:val="0"/>
        <w:ind w:left="0" w:leftChars="0" w:firstLine="420" w:firstLineChars="200"/>
        <w:rPr>
          <w:rFonts w:hint="default" w:eastAsia="宋体"/>
          <w:lang w:val="en-US" w:eastAsia="zh-CN"/>
        </w:rPr>
      </w:pPr>
      <w:r>
        <w:rPr>
          <w:rFonts w:hint="eastAsia"/>
          <w:lang w:val="en-US" w:eastAsia="zh-CN"/>
        </w:rPr>
        <w:t>3．预算金额：</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4679"/>
        <w:gridCol w:w="1543"/>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903" w:type="dxa"/>
            <w:noWrap w:val="0"/>
            <w:vAlign w:val="center"/>
          </w:tcPr>
          <w:p>
            <w:pPr>
              <w:bidi w:val="0"/>
              <w:jc w:val="center"/>
              <w:rPr>
                <w:rFonts w:hint="eastAsia"/>
                <w:szCs w:val="20"/>
                <w:lang w:val="en-US" w:eastAsia="zh-CN"/>
              </w:rPr>
            </w:pPr>
            <w:r>
              <w:rPr>
                <w:rFonts w:hint="eastAsia"/>
                <w:szCs w:val="20"/>
                <w:lang w:val="en-US" w:eastAsia="zh-CN"/>
              </w:rPr>
              <w:t>包</w:t>
            </w:r>
            <w:r>
              <w:rPr>
                <w:rFonts w:hint="eastAsia"/>
                <w:szCs w:val="20"/>
                <w:lang w:eastAsia="zh-CN"/>
              </w:rPr>
              <w:t>号</w:t>
            </w:r>
          </w:p>
        </w:tc>
        <w:tc>
          <w:tcPr>
            <w:tcW w:w="4679" w:type="dxa"/>
            <w:noWrap w:val="0"/>
            <w:vAlign w:val="center"/>
          </w:tcPr>
          <w:p>
            <w:pPr>
              <w:bidi w:val="0"/>
              <w:jc w:val="center"/>
              <w:rPr>
                <w:rFonts w:hint="default"/>
                <w:szCs w:val="20"/>
                <w:lang w:val="en-US" w:eastAsia="zh-CN"/>
              </w:rPr>
            </w:pPr>
            <w:r>
              <w:rPr>
                <w:rFonts w:hint="eastAsia"/>
                <w:szCs w:val="20"/>
                <w:lang w:val="en-US" w:eastAsia="zh-CN"/>
              </w:rPr>
              <w:t>包</w:t>
            </w:r>
            <w:r>
              <w:rPr>
                <w:szCs w:val="20"/>
              </w:rPr>
              <w:t>名称</w:t>
            </w:r>
          </w:p>
        </w:tc>
        <w:tc>
          <w:tcPr>
            <w:tcW w:w="1543" w:type="dxa"/>
            <w:noWrap w:val="0"/>
            <w:vAlign w:val="center"/>
          </w:tcPr>
          <w:p>
            <w:pPr>
              <w:bidi w:val="0"/>
              <w:jc w:val="center"/>
              <w:rPr>
                <w:rFonts w:hint="eastAsia"/>
                <w:szCs w:val="20"/>
              </w:rPr>
            </w:pPr>
            <w:r>
              <w:rPr>
                <w:rFonts w:hint="eastAsia"/>
                <w:szCs w:val="20"/>
              </w:rPr>
              <w:t>预算金额</w:t>
            </w:r>
          </w:p>
          <w:p>
            <w:pPr>
              <w:bidi w:val="0"/>
              <w:jc w:val="center"/>
              <w:rPr>
                <w:rFonts w:hint="eastAsia"/>
                <w:szCs w:val="20"/>
                <w:lang w:val="en-US" w:eastAsia="zh-CN"/>
              </w:rPr>
            </w:pPr>
            <w:r>
              <w:rPr>
                <w:rFonts w:hint="eastAsia"/>
                <w:szCs w:val="20"/>
                <w:lang w:eastAsia="zh-CN"/>
              </w:rPr>
              <w:t>（元）</w:t>
            </w:r>
          </w:p>
        </w:tc>
        <w:tc>
          <w:tcPr>
            <w:tcW w:w="1486" w:type="dxa"/>
            <w:noWrap w:val="0"/>
            <w:vAlign w:val="center"/>
          </w:tcPr>
          <w:p>
            <w:pPr>
              <w:bidi w:val="0"/>
              <w:jc w:val="center"/>
              <w:rPr>
                <w:rFonts w:hint="eastAsia"/>
                <w:szCs w:val="20"/>
              </w:rPr>
            </w:pPr>
            <w:r>
              <w:rPr>
                <w:rFonts w:hint="eastAsia"/>
                <w:szCs w:val="20"/>
              </w:rPr>
              <w:t>最高限价</w:t>
            </w:r>
          </w:p>
          <w:p>
            <w:pPr>
              <w:bidi w:val="0"/>
              <w:jc w:val="center"/>
              <w:rPr>
                <w:rFonts w:hint="eastAsia"/>
                <w:szCs w:val="20"/>
                <w:lang w:val="en-US" w:eastAsia="zh-CN"/>
              </w:rPr>
            </w:pPr>
            <w:r>
              <w:rPr>
                <w:rFonts w:hint="eastAsia"/>
                <w:szCs w:val="20"/>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903" w:type="dxa"/>
            <w:noWrap w:val="0"/>
            <w:vAlign w:val="center"/>
          </w:tcPr>
          <w:p>
            <w:pPr>
              <w:bidi w:val="0"/>
              <w:jc w:val="center"/>
              <w:rPr>
                <w:rFonts w:hint="default"/>
                <w:szCs w:val="20"/>
                <w:lang w:val="en-US" w:eastAsia="zh-CN"/>
              </w:rPr>
            </w:pPr>
            <w:r>
              <w:rPr>
                <w:rFonts w:hint="eastAsia"/>
                <w:szCs w:val="20"/>
                <w:lang w:val="en-US" w:eastAsia="zh-CN"/>
              </w:rPr>
              <w:t>一</w:t>
            </w:r>
          </w:p>
        </w:tc>
        <w:tc>
          <w:tcPr>
            <w:tcW w:w="4679" w:type="dxa"/>
            <w:noWrap w:val="0"/>
            <w:vAlign w:val="center"/>
          </w:tcPr>
          <w:p>
            <w:pPr>
              <w:bidi w:val="0"/>
              <w:jc w:val="center"/>
              <w:rPr>
                <w:rFonts w:hint="default"/>
                <w:szCs w:val="20"/>
                <w:lang w:val="en-US" w:eastAsia="zh-CN"/>
              </w:rPr>
            </w:pPr>
            <w:r>
              <w:rPr>
                <w:rFonts w:hint="eastAsia"/>
                <w:szCs w:val="20"/>
                <w:highlight w:val="none"/>
                <w:lang w:eastAsia="zh-CN"/>
              </w:rPr>
              <w:t>平顶山市第十一中学学生厨房改造工程</w:t>
            </w:r>
          </w:p>
        </w:tc>
        <w:tc>
          <w:tcPr>
            <w:tcW w:w="1543" w:type="dxa"/>
            <w:noWrap w:val="0"/>
            <w:vAlign w:val="center"/>
          </w:tcPr>
          <w:p>
            <w:pPr>
              <w:bidi w:val="0"/>
              <w:jc w:val="center"/>
              <w:rPr>
                <w:rFonts w:hint="default"/>
                <w:szCs w:val="20"/>
                <w:u w:val="none"/>
                <w:lang w:val="en-US" w:eastAsia="zh-CN"/>
              </w:rPr>
            </w:pPr>
            <w:r>
              <w:rPr>
                <w:rFonts w:hint="eastAsia"/>
                <w:szCs w:val="20"/>
                <w:u w:val="none"/>
                <w:lang w:val="en-US" w:eastAsia="zh-CN"/>
              </w:rPr>
              <w:t>532468.44</w:t>
            </w:r>
          </w:p>
        </w:tc>
        <w:tc>
          <w:tcPr>
            <w:tcW w:w="1486" w:type="dxa"/>
            <w:noWrap w:val="0"/>
            <w:vAlign w:val="center"/>
          </w:tcPr>
          <w:p>
            <w:pPr>
              <w:bidi w:val="0"/>
              <w:jc w:val="center"/>
              <w:rPr>
                <w:rFonts w:hint="default"/>
                <w:szCs w:val="20"/>
                <w:u w:val="single"/>
                <w:lang w:val="en-US" w:eastAsia="zh-CN"/>
              </w:rPr>
            </w:pPr>
            <w:r>
              <w:rPr>
                <w:rFonts w:hint="eastAsia"/>
                <w:szCs w:val="20"/>
                <w:u w:val="none"/>
                <w:lang w:val="en-US" w:eastAsia="zh-CN"/>
              </w:rPr>
              <w:t>532468.44</w:t>
            </w:r>
          </w:p>
        </w:tc>
      </w:tr>
    </w:tbl>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rPr>
      </w:pPr>
      <w:r>
        <w:rPr>
          <w:rFonts w:hint="eastAsia"/>
          <w:lang w:val="en-US" w:eastAsia="zh-CN"/>
        </w:rPr>
        <w:t>4．</w:t>
      </w:r>
      <w:r>
        <w:rPr>
          <w:rFonts w:hint="eastAsia"/>
          <w:szCs w:val="22"/>
          <w:lang w:val="en-US" w:eastAsia="zh-CN"/>
        </w:rPr>
        <w:t>采购需求：</w:t>
      </w:r>
    </w:p>
    <w:p>
      <w:pPr>
        <w:bidi w:val="0"/>
        <w:ind w:left="0" w:leftChars="0" w:firstLine="420" w:firstLineChars="200"/>
        <w:rPr>
          <w:rFonts w:hint="default"/>
          <w:lang w:val="en-US" w:eastAsia="zh-CN"/>
        </w:rPr>
      </w:pPr>
      <w:r>
        <w:rPr>
          <w:rFonts w:hint="eastAsia"/>
          <w:lang w:val="en-US" w:eastAsia="zh-CN"/>
        </w:rPr>
        <w:t>4.1建设地点：</w:t>
      </w:r>
      <w:r>
        <w:rPr>
          <w:rFonts w:hint="eastAsia"/>
          <w:sz w:val="21"/>
          <w:szCs w:val="21"/>
          <w:lang w:eastAsia="zh-CN"/>
        </w:rPr>
        <w:t>平顶山市第十一中学</w:t>
      </w:r>
      <w:r>
        <w:rPr>
          <w:rFonts w:hint="eastAsia"/>
          <w:sz w:val="21"/>
          <w:szCs w:val="21"/>
          <w:lang w:val="en-US" w:eastAsia="zh-CN"/>
        </w:rPr>
        <w:t>院内</w:t>
      </w:r>
    </w:p>
    <w:p>
      <w:pPr>
        <w:ind w:firstLine="420" w:firstLineChars="200"/>
      </w:pPr>
      <w:r>
        <w:rPr>
          <w:rFonts w:hint="eastAsia"/>
          <w:lang w:val="en-US" w:eastAsia="zh-CN"/>
        </w:rPr>
        <w:t>4</w:t>
      </w:r>
      <w:r>
        <w:rPr>
          <w:rFonts w:hint="eastAsia"/>
        </w:rPr>
        <w:t>.2</w:t>
      </w:r>
      <w:r>
        <w:rPr>
          <w:rFonts w:hint="eastAsia"/>
          <w:szCs w:val="22"/>
        </w:rPr>
        <w:t>建设规模：</w:t>
      </w:r>
      <w:r>
        <w:rPr>
          <w:rFonts w:hint="eastAsia"/>
          <w:szCs w:val="21"/>
        </w:rPr>
        <w:t>平顶山市第十一中学</w:t>
      </w:r>
      <w:r>
        <w:rPr>
          <w:rFonts w:hint="eastAsia"/>
          <w:szCs w:val="21"/>
          <w:lang w:val="en-US" w:eastAsia="zh-CN"/>
        </w:rPr>
        <w:t>学生厨房的</w:t>
      </w:r>
      <w:r>
        <w:rPr>
          <w:rFonts w:hint="eastAsia"/>
          <w:szCs w:val="21"/>
        </w:rPr>
        <w:t>改造</w:t>
      </w:r>
      <w:r>
        <w:rPr>
          <w:rFonts w:hint="eastAsia"/>
          <w:szCs w:val="22"/>
        </w:rPr>
        <w:t>。</w:t>
      </w:r>
    </w:p>
    <w:p>
      <w:pPr>
        <w:ind w:firstLine="420" w:firstLineChars="200"/>
        <w:rPr>
          <w:rFonts w:hint="eastAsia"/>
        </w:rPr>
      </w:pPr>
      <w:r>
        <w:rPr>
          <w:rFonts w:hint="eastAsia"/>
          <w:lang w:val="en-US" w:eastAsia="zh-CN"/>
        </w:rPr>
        <w:t>4</w:t>
      </w:r>
      <w:r>
        <w:rPr>
          <w:rFonts w:hint="eastAsia"/>
        </w:rPr>
        <w:t>.3招标范围：施工图纸与工程量清单范围内所有内容。</w:t>
      </w:r>
    </w:p>
    <w:p>
      <w:pPr>
        <w:ind w:left="0" w:leftChars="0" w:firstLine="420" w:firstLineChars="200"/>
        <w:outlineLvl w:val="9"/>
        <w:rPr>
          <w:rFonts w:hint="eastAsia"/>
          <w:highlight w:val="none"/>
          <w:lang w:val="en-US" w:eastAsia="zh-CN"/>
        </w:rPr>
      </w:pPr>
      <w:r>
        <w:rPr>
          <w:rFonts w:hint="eastAsia"/>
          <w:highlight w:val="none"/>
          <w:lang w:val="en-US" w:eastAsia="zh-CN"/>
        </w:rPr>
        <w:t>4.4质量要求：合格</w:t>
      </w:r>
    </w:p>
    <w:p>
      <w:pPr>
        <w:ind w:left="0" w:leftChars="0" w:firstLine="420" w:firstLineChars="200"/>
        <w:rPr>
          <w:rFonts w:hint="default"/>
          <w:lang w:val="en-US" w:eastAsia="zh-CN"/>
        </w:rPr>
      </w:pPr>
      <w:r>
        <w:rPr>
          <w:rFonts w:hint="eastAsia"/>
          <w:lang w:val="en-US" w:eastAsia="zh-CN"/>
        </w:rPr>
        <w:t>5．合同履行期限：</w:t>
      </w:r>
      <w:r>
        <w:rPr>
          <w:rFonts w:hint="eastAsia"/>
          <w:szCs w:val="22"/>
          <w:lang w:val="en-US" w:eastAsia="zh-CN"/>
        </w:rPr>
        <w:t>30日历天</w:t>
      </w:r>
      <w:r>
        <w:rPr>
          <w:rFonts w:hint="eastAsia" w:cs="宋体"/>
          <w:kern w:val="2"/>
          <w:sz w:val="21"/>
          <w:szCs w:val="22"/>
          <w:lang w:val="en-US" w:eastAsia="zh-CN" w:bidi="ar-SA"/>
        </w:rPr>
        <w:t>。</w:t>
      </w:r>
    </w:p>
    <w:p>
      <w:pPr>
        <w:bidi w:val="0"/>
        <w:ind w:left="0" w:leftChars="0" w:firstLine="420" w:firstLineChars="200"/>
        <w:rPr>
          <w:rFonts w:hint="default"/>
          <w:lang w:val="en-US" w:eastAsia="zh-CN"/>
        </w:rPr>
      </w:pPr>
      <w:r>
        <w:rPr>
          <w:rFonts w:hint="eastAsia"/>
          <w:lang w:val="en-US" w:eastAsia="zh-CN"/>
        </w:rPr>
        <w:t>6．</w:t>
      </w:r>
      <w:r>
        <w:rPr>
          <w:rFonts w:hint="eastAsia"/>
        </w:rPr>
        <w:t>本项目</w:t>
      </w:r>
      <w:r>
        <w:rPr>
          <w:rFonts w:hint="eastAsia"/>
          <w:lang w:eastAsia="zh-CN"/>
        </w:rPr>
        <w:t>不</w:t>
      </w:r>
      <w:r>
        <w:rPr>
          <w:rFonts w:hint="eastAsia"/>
        </w:rPr>
        <w:t>接受联合体</w:t>
      </w:r>
      <w:r>
        <w:rPr>
          <w:rFonts w:hint="eastAsia"/>
          <w:lang w:val="en-US" w:eastAsia="zh-CN"/>
        </w:rPr>
        <w:t xml:space="preserve"> </w:t>
      </w:r>
    </w:p>
    <w:p>
      <w:pPr>
        <w:bidi w:val="0"/>
        <w:ind w:left="0" w:leftChars="0" w:firstLine="420" w:firstLineChars="200"/>
      </w:pPr>
      <w:r>
        <w:rPr>
          <w:rFonts w:hint="eastAsia"/>
          <w:lang w:val="en-US" w:eastAsia="zh-CN"/>
        </w:rPr>
        <w:t>7．是否接受进口产品：否</w:t>
      </w:r>
    </w:p>
    <w:p>
      <w:pPr>
        <w:keepNext w:val="0"/>
        <w:keepLines w:val="0"/>
        <w:pageBreakBefore w:val="0"/>
        <w:widowControl w:val="0"/>
        <w:kinsoku/>
        <w:wordWrap/>
        <w:overflowPunct/>
        <w:topLinePunct w:val="0"/>
        <w:autoSpaceDE/>
        <w:autoSpaceDN/>
        <w:bidi w:val="0"/>
        <w:adjustRightInd/>
        <w:snapToGrid/>
        <w:spacing w:before="120" w:after="120"/>
        <w:textAlignment w:val="auto"/>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二、申请人的资格要求</w:t>
      </w:r>
    </w:p>
    <w:p>
      <w:pPr>
        <w:ind w:left="0" w:leftChars="0" w:firstLine="420" w:firstLineChars="200"/>
        <w:outlineLvl w:val="9"/>
        <w:rPr>
          <w:rFonts w:hint="eastAsia"/>
          <w:lang w:val="en-US" w:eastAsia="zh-CN"/>
        </w:rPr>
      </w:pPr>
      <w:r>
        <w:rPr>
          <w:rFonts w:hint="eastAsia"/>
          <w:lang w:val="en-US" w:eastAsia="zh-CN"/>
        </w:rPr>
        <w:t>1．满足《中华人民共和国政府采购法》第二十二条规定：</w:t>
      </w:r>
    </w:p>
    <w:p>
      <w:pPr>
        <w:ind w:left="0" w:leftChars="0" w:firstLine="420" w:firstLineChars="200"/>
        <w:outlineLvl w:val="9"/>
        <w:rPr>
          <w:rFonts w:hint="eastAsia"/>
          <w:lang w:val="en-US" w:eastAsia="zh-CN"/>
        </w:rPr>
      </w:pPr>
      <w:r>
        <w:rPr>
          <w:rFonts w:hint="eastAsia"/>
          <w:lang w:val="en-US" w:eastAsia="zh-CN"/>
        </w:rPr>
        <w:t>2．落实政府采购政策需满足的资格要求：本项目专门面向中小企业采购，供应商应为中小微企业或监狱企业或残疾人福利性单位。提供以下对应材料之一：1)若为中小微型企业需提供《中小企业声明函》（格式见采购文件）；2)若为监狱企业需提供省级以上监狱管理局、戒毒管理局（含新疆生产建设兵团）出具的属于监狱企业的证明文件；3)若为残疾人福利性单位需提供《残疾人福利性单位声明函》</w:t>
      </w:r>
    </w:p>
    <w:p>
      <w:pPr>
        <w:ind w:left="0" w:leftChars="0" w:firstLine="420" w:firstLineChars="200"/>
        <w:outlineLvl w:val="9"/>
        <w:rPr>
          <w:rFonts w:hint="eastAsia"/>
          <w:lang w:val="en-US" w:eastAsia="zh-CN"/>
        </w:rPr>
      </w:pPr>
      <w:r>
        <w:rPr>
          <w:rFonts w:hint="eastAsia"/>
          <w:lang w:val="en-US" w:eastAsia="zh-CN"/>
        </w:rPr>
        <w:t>3．本项目的特定资格要求：</w:t>
      </w:r>
    </w:p>
    <w:p>
      <w:pPr>
        <w:ind w:left="0" w:leftChars="0" w:firstLine="420" w:firstLineChars="200"/>
        <w:outlineLvl w:val="9"/>
        <w:rPr>
          <w:rFonts w:hint="eastAsia"/>
          <w:lang w:val="en-US" w:eastAsia="zh-CN"/>
        </w:rPr>
      </w:pPr>
      <w:r>
        <w:rPr>
          <w:rFonts w:hint="eastAsia"/>
          <w:lang w:val="en-US" w:eastAsia="zh-CN"/>
        </w:rPr>
        <w:t>3.1供应商需作出自身符合《中华人民共和国政府采购法》第二十二条规定的信用承诺函，按约定提交相关材料的承诺，以及违背承诺自愿承担相关责任的约定，不再需要提供以下证明材料：</w:t>
      </w:r>
    </w:p>
    <w:p>
      <w:pPr>
        <w:ind w:left="0" w:leftChars="0" w:firstLine="420" w:firstLineChars="200"/>
        <w:outlineLvl w:val="9"/>
        <w:rPr>
          <w:rFonts w:hint="eastAsia"/>
          <w:lang w:val="en-US" w:eastAsia="zh-CN"/>
        </w:rPr>
      </w:pPr>
      <w:r>
        <w:rPr>
          <w:rFonts w:hint="eastAsia"/>
          <w:lang w:val="en-US" w:eastAsia="zh-CN"/>
        </w:rPr>
        <w:t>1.具有良好的商业信誉的证明材料；</w:t>
      </w:r>
    </w:p>
    <w:p>
      <w:pPr>
        <w:ind w:left="0" w:leftChars="0" w:firstLine="420" w:firstLineChars="200"/>
        <w:outlineLvl w:val="9"/>
        <w:rPr>
          <w:rFonts w:hint="eastAsia"/>
          <w:lang w:val="en-US" w:eastAsia="zh-CN"/>
        </w:rPr>
      </w:pPr>
      <w:r>
        <w:rPr>
          <w:rFonts w:hint="eastAsia"/>
          <w:lang w:val="en-US" w:eastAsia="zh-CN"/>
        </w:rPr>
        <w:t>2.符合国家相关规定的财务状况报告；</w:t>
      </w:r>
    </w:p>
    <w:p>
      <w:pPr>
        <w:ind w:left="0" w:leftChars="0" w:firstLine="420" w:firstLineChars="200"/>
        <w:outlineLvl w:val="9"/>
        <w:rPr>
          <w:rFonts w:hint="eastAsia"/>
          <w:lang w:val="en-US" w:eastAsia="zh-CN"/>
        </w:rPr>
      </w:pPr>
      <w:r>
        <w:rPr>
          <w:rFonts w:hint="eastAsia"/>
          <w:lang w:val="en-US" w:eastAsia="zh-CN"/>
        </w:rPr>
        <w:t>3.具备履行政府采购合同所必需的设备和专业技术能力的证明材料；</w:t>
      </w:r>
    </w:p>
    <w:p>
      <w:pPr>
        <w:ind w:left="0" w:leftChars="0" w:firstLine="420" w:firstLineChars="200"/>
        <w:outlineLvl w:val="9"/>
        <w:rPr>
          <w:rFonts w:hint="eastAsia"/>
          <w:lang w:val="en-US" w:eastAsia="zh-CN"/>
        </w:rPr>
      </w:pPr>
      <w:r>
        <w:rPr>
          <w:rFonts w:hint="eastAsia"/>
          <w:lang w:val="en-US" w:eastAsia="zh-CN"/>
        </w:rPr>
        <w:t>4.依法缴纳税收和社会保障资金的证明材料；</w:t>
      </w:r>
    </w:p>
    <w:p>
      <w:pPr>
        <w:ind w:left="0" w:leftChars="0" w:firstLine="420" w:firstLineChars="200"/>
        <w:outlineLvl w:val="9"/>
        <w:rPr>
          <w:rFonts w:hint="eastAsia"/>
          <w:lang w:val="en-US" w:eastAsia="zh-CN"/>
        </w:rPr>
      </w:pPr>
      <w:r>
        <w:rPr>
          <w:rFonts w:hint="eastAsia"/>
          <w:lang w:val="en-US" w:eastAsia="zh-CN"/>
        </w:rPr>
        <w:t>5.参加政府采购活动前三年内在经营活动中没有重大违法记录的证明材料；</w:t>
      </w:r>
    </w:p>
    <w:p>
      <w:pPr>
        <w:ind w:left="0" w:leftChars="0" w:firstLine="420" w:firstLineChars="200"/>
        <w:outlineLvl w:val="9"/>
        <w:rPr>
          <w:rFonts w:hint="eastAsia" w:ascii="宋体" w:hAnsi="宋体" w:eastAsia="宋体" w:cs="宋体"/>
          <w:lang w:val="en-US" w:eastAsia="zh-CN"/>
        </w:rPr>
      </w:pPr>
      <w:r>
        <w:rPr>
          <w:rFonts w:hint="eastAsia"/>
          <w:lang w:val="en-US" w:eastAsia="zh-CN"/>
        </w:rPr>
        <w:t>供应商在投标时，需按照规定提交相关承诺函（格式见采购文件）。同时，采购人有权在</w:t>
      </w:r>
      <w:r>
        <w:rPr>
          <w:rFonts w:hint="eastAsia" w:ascii="宋体" w:hAnsi="宋体" w:eastAsia="宋体" w:cs="宋体"/>
          <w:lang w:val="en-US" w:eastAsia="zh-CN"/>
        </w:rPr>
        <w:t>签订合同前要求中标供应商提供相关证明材料以核实中标供应商承诺事项的真实性。</w:t>
      </w:r>
    </w:p>
    <w:p>
      <w:pPr>
        <w:ind w:left="0" w:leftChars="0" w:firstLine="420" w:firstLineChars="200"/>
        <w:outlineLvl w:val="9"/>
        <w:rPr>
          <w:rFonts w:hint="eastAsia" w:ascii="宋体" w:hAnsi="宋体" w:eastAsia="宋体" w:cs="宋体"/>
          <w:lang w:val="en-US" w:eastAsia="zh-CN"/>
        </w:rPr>
      </w:pPr>
      <w:r>
        <w:rPr>
          <w:rFonts w:hint="eastAsia" w:ascii="宋体" w:hAnsi="宋体" w:eastAsia="宋体" w:cs="宋体"/>
          <w:lang w:val="en-US" w:eastAsia="zh-CN"/>
        </w:rPr>
        <w:t>3.2企具有行政主管部门颁发的建筑装饰装修工程专业承包贰级（含）以上或建筑工程施工总承包三级及以上资质，具备有效的安全生产许可证；</w:t>
      </w:r>
    </w:p>
    <w:p>
      <w:pPr>
        <w:ind w:left="0" w:leftChars="0" w:firstLine="420" w:firstLineChars="200"/>
        <w:outlineLvl w:val="9"/>
        <w:rPr>
          <w:rFonts w:hint="eastAsia" w:ascii="宋体" w:hAnsi="宋体" w:eastAsia="宋体" w:cs="宋体"/>
          <w:lang w:val="en-US" w:eastAsia="zh-CN"/>
        </w:rPr>
      </w:pPr>
      <w:r>
        <w:rPr>
          <w:rFonts w:hint="eastAsia" w:ascii="宋体" w:hAnsi="宋体" w:eastAsia="宋体" w:cs="宋体"/>
          <w:lang w:val="en-US" w:eastAsia="zh-CN"/>
        </w:rPr>
        <w:t>3.3企拟派项目经理须具有相关专业二级及以上注册建造师资格和有效的安全生产考核合格证书，且无在建工程项目；</w:t>
      </w:r>
      <w:bookmarkStart w:id="39" w:name="_GoBack"/>
      <w:bookmarkEnd w:id="39"/>
    </w:p>
    <w:p>
      <w:pPr>
        <w:ind w:left="0" w:leftChars="0" w:firstLine="420" w:firstLineChars="200"/>
        <w:outlineLvl w:val="9"/>
        <w:rPr>
          <w:rFonts w:hint="eastAsia" w:ascii="宋体" w:hAnsi="宋体" w:eastAsia="宋体" w:cs="宋体"/>
          <w:lang w:val="en-US" w:eastAsia="zh-CN"/>
        </w:rPr>
      </w:pPr>
      <w:r>
        <w:rPr>
          <w:rFonts w:hint="eastAsia" w:ascii="宋体" w:hAnsi="宋体" w:eastAsia="宋体" w:cs="宋体"/>
          <w:lang w:val="en-US" w:eastAsia="zh-CN"/>
        </w:rPr>
        <w:t>3.4其他要求：</w:t>
      </w:r>
    </w:p>
    <w:p>
      <w:pPr>
        <w:ind w:left="0" w:leftChars="0" w:firstLine="420" w:firstLineChars="200"/>
        <w:outlineLvl w:val="9"/>
        <w:rPr>
          <w:rFonts w:hint="eastAsia" w:ascii="宋体" w:hAnsi="宋体" w:eastAsia="宋体" w:cs="宋体"/>
          <w:lang w:val="en-US" w:eastAsia="zh-CN"/>
        </w:rPr>
      </w:pPr>
      <w:r>
        <w:rPr>
          <w:rFonts w:hint="eastAsia" w:ascii="宋体" w:hAnsi="宋体" w:eastAsia="宋体" w:cs="宋体"/>
          <w:lang w:val="en-US" w:eastAsia="zh-CN"/>
        </w:rPr>
        <w:t>（1）企业没有处于被责令停业、投标资格被取消，财产没有被接管、冻结、破产状态（提供承诺函，格式自拟）；</w:t>
      </w:r>
    </w:p>
    <w:p>
      <w:pPr>
        <w:ind w:left="0" w:leftChars="0" w:firstLine="420" w:firstLineChars="200"/>
        <w:outlineLvl w:val="9"/>
        <w:rPr>
          <w:rFonts w:hint="eastAsia"/>
          <w:lang w:val="en-US" w:eastAsia="zh-CN"/>
        </w:rPr>
      </w:pPr>
      <w:r>
        <w:rPr>
          <w:rFonts w:hint="eastAsia" w:ascii="宋体" w:hAnsi="宋体" w:eastAsia="宋体" w:cs="宋体"/>
          <w:lang w:val="en-US" w:eastAsia="zh-CN"/>
        </w:rPr>
        <w:t>（2）企供应商应保证投标期间提供的所有资料真实有效，并愿意承担因弄虚作假所引起的</w:t>
      </w:r>
      <w:r>
        <w:rPr>
          <w:rFonts w:hint="eastAsia"/>
          <w:lang w:val="en-US" w:eastAsia="zh-CN"/>
        </w:rPr>
        <w:t>一切法律后果（提供承诺函，格式自拟）；</w:t>
      </w:r>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420" w:firstLineChars="200"/>
        <w:textAlignment w:val="auto"/>
        <w:outlineLvl w:val="9"/>
        <w:rPr>
          <w:rFonts w:hint="eastAsia"/>
          <w:lang w:val="en-US" w:eastAsia="zh-CN"/>
        </w:rPr>
      </w:pPr>
      <w:r>
        <w:rPr>
          <w:rFonts w:hint="eastAsia"/>
          <w:lang w:val="en-US" w:eastAsia="zh-CN"/>
        </w:rPr>
        <w:t>（3）企供应商须提供自公告发布之日后“中国执行信息公开网”网站（http://zxgk.court.gov.cn/shixin/）“失信被执行人”和“信用中国”网站（www.creditchina.gov.cn）的“重大税收违法失信主体”，“ 中国政府采购网站”（www.ccgp.gov.cn）的“政府采购严重违法失信行为名单”，查询结果页面截图，若有不良记录则投标无效，执行财库[2016]125号文。</w:t>
      </w:r>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420" w:firstLineChars="200"/>
        <w:textAlignment w:val="auto"/>
        <w:outlineLvl w:val="9"/>
        <w:rPr>
          <w:rFonts w:hint="eastAsia" w:eastAsia="宋体"/>
          <w:highlight w:val="none"/>
          <w:lang w:val="en-US" w:eastAsia="zh-CN"/>
        </w:rPr>
      </w:pPr>
      <w:r>
        <w:rPr>
          <w:rFonts w:hint="eastAsia"/>
          <w:lang w:val="en-US" w:eastAsia="zh-CN"/>
        </w:rPr>
        <w:t>3.6不接受联合体，采用资格后审。</w:t>
      </w:r>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422" w:firstLineChars="200"/>
        <w:textAlignment w:val="auto"/>
        <w:rPr>
          <w:rFonts w:hint="eastAsia"/>
          <w:b/>
          <w:bCs/>
          <w:sz w:val="21"/>
          <w:szCs w:val="20"/>
          <w:highlight w:val="none"/>
          <w:shd w:val="clear" w:color="FFFFFF" w:fill="D9D9D9"/>
          <w:lang w:eastAsia="zh-CN"/>
        </w:rPr>
      </w:pPr>
      <w:bookmarkStart w:id="0" w:name="_Toc20054"/>
      <w:bookmarkStart w:id="1" w:name="_Toc8252"/>
      <w:r>
        <w:rPr>
          <w:rFonts w:hint="eastAsia"/>
          <w:b/>
          <w:bCs/>
          <w:sz w:val="21"/>
          <w:szCs w:val="20"/>
          <w:highlight w:val="none"/>
          <w:shd w:val="clear" w:color="FFFFFF" w:fill="D9D9D9"/>
          <w:lang w:eastAsia="zh-CN"/>
        </w:rPr>
        <w:t>注：网站查询页须完整显示网站名称标题，并加盖单位章。</w:t>
      </w:r>
      <w:bookmarkEnd w:id="0"/>
      <w:bookmarkEnd w:id="1"/>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0" w:firstLineChars="0"/>
        <w:textAlignment w:val="auto"/>
        <w:outlineLvl w:val="9"/>
        <w:rPr>
          <w:rFonts w:hint="eastAsia" w:ascii="黑体" w:hAnsi="黑体" w:eastAsia="黑体" w:cs="黑体"/>
          <w:sz w:val="24"/>
          <w:szCs w:val="22"/>
          <w:lang w:val="en-US" w:eastAsia="zh-CN"/>
        </w:rPr>
      </w:pPr>
      <w:bookmarkStart w:id="2" w:name="_Toc11052"/>
      <w:bookmarkStart w:id="3" w:name="_Toc32751"/>
      <w:bookmarkStart w:id="4" w:name="_Toc17204"/>
      <w:r>
        <w:rPr>
          <w:rFonts w:hint="eastAsia" w:ascii="黑体" w:hAnsi="黑体" w:eastAsia="黑体" w:cs="黑体"/>
          <w:sz w:val="24"/>
          <w:szCs w:val="22"/>
          <w:lang w:val="en-US" w:eastAsia="zh-CN"/>
        </w:rPr>
        <w:t>三、获取竞争性磋商文件</w:t>
      </w:r>
    </w:p>
    <w:bookmarkEnd w:id="2"/>
    <w:bookmarkEnd w:id="3"/>
    <w:bookmarkEnd w:id="4"/>
    <w:p>
      <w:pPr>
        <w:keepNext w:val="0"/>
        <w:keepLines w:val="0"/>
        <w:pageBreakBefore w:val="0"/>
        <w:widowControl w:val="0"/>
        <w:kinsoku/>
        <w:wordWrap/>
        <w:overflowPunct/>
        <w:topLinePunct w:val="0"/>
        <w:autoSpaceDE/>
        <w:autoSpaceDN/>
        <w:bidi w:val="0"/>
        <w:adjustRightInd/>
        <w:snapToGrid w:val="0"/>
        <w:spacing w:line="432" w:lineRule="auto"/>
        <w:ind w:left="0" w:leftChars="0" w:firstLine="420" w:firstLineChars="200"/>
        <w:textAlignment w:val="auto"/>
        <w:rPr>
          <w:rFonts w:hint="eastAsia" w:eastAsia="宋体"/>
          <w:highlight w:val="none"/>
          <w:lang w:val="en-US" w:eastAsia="zh-CN"/>
        </w:rPr>
      </w:pPr>
      <w:bookmarkStart w:id="5" w:name="_Toc24236"/>
      <w:bookmarkStart w:id="6" w:name="_Toc27902"/>
      <w:bookmarkStart w:id="7" w:name="_Toc2250"/>
      <w:bookmarkStart w:id="8" w:name="_Toc11617"/>
      <w:bookmarkStart w:id="9" w:name="_Toc3832"/>
      <w:bookmarkStart w:id="10" w:name="_Toc30816"/>
      <w:r>
        <w:rPr>
          <w:rFonts w:hint="eastAsia"/>
          <w:highlight w:val="none"/>
          <w:lang w:val="en-US" w:eastAsia="zh-CN"/>
        </w:rPr>
        <w:t>1．</w:t>
      </w:r>
      <w:r>
        <w:rPr>
          <w:rFonts w:hint="eastAsia"/>
          <w:highlight w:val="none"/>
        </w:rPr>
        <w:t>时间：20</w:t>
      </w:r>
      <w:r>
        <w:rPr>
          <w:rFonts w:hint="eastAsia"/>
          <w:highlight w:val="none"/>
          <w:lang w:val="en-US" w:eastAsia="zh-CN"/>
        </w:rPr>
        <w:t>23</w:t>
      </w:r>
      <w:r>
        <w:rPr>
          <w:rFonts w:hint="eastAsia"/>
          <w:highlight w:val="none"/>
        </w:rPr>
        <w:t>年</w:t>
      </w:r>
      <w:r>
        <w:rPr>
          <w:rFonts w:hint="eastAsia"/>
          <w:highlight w:val="none"/>
          <w:u w:val="single"/>
          <w:lang w:val="en-US" w:eastAsia="zh-CN"/>
        </w:rPr>
        <w:t xml:space="preserve"> 6 </w:t>
      </w:r>
      <w:r>
        <w:rPr>
          <w:rFonts w:hint="eastAsia"/>
          <w:highlight w:val="none"/>
          <w:u w:val="none"/>
        </w:rPr>
        <w:t>月</w:t>
      </w:r>
      <w:r>
        <w:rPr>
          <w:rFonts w:hint="eastAsia"/>
          <w:highlight w:val="none"/>
          <w:u w:val="single"/>
          <w:lang w:val="en-US" w:eastAsia="zh-CN"/>
        </w:rPr>
        <w:t xml:space="preserve"> 7 </w:t>
      </w:r>
      <w:r>
        <w:rPr>
          <w:rFonts w:hint="eastAsia"/>
          <w:highlight w:val="none"/>
          <w:u w:val="none"/>
        </w:rPr>
        <w:t>日至20</w:t>
      </w:r>
      <w:r>
        <w:rPr>
          <w:rFonts w:hint="eastAsia"/>
          <w:highlight w:val="none"/>
          <w:u w:val="none"/>
          <w:lang w:val="en-US" w:eastAsia="zh-CN"/>
        </w:rPr>
        <w:t>23</w:t>
      </w:r>
      <w:r>
        <w:rPr>
          <w:rFonts w:hint="eastAsia"/>
          <w:highlight w:val="none"/>
          <w:u w:val="none"/>
        </w:rPr>
        <w:t>年</w:t>
      </w:r>
      <w:r>
        <w:rPr>
          <w:rFonts w:hint="eastAsia"/>
          <w:highlight w:val="none"/>
          <w:u w:val="single"/>
          <w:lang w:val="en-US" w:eastAsia="zh-CN"/>
        </w:rPr>
        <w:t xml:space="preserve"> 6 </w:t>
      </w:r>
      <w:r>
        <w:rPr>
          <w:rFonts w:hint="eastAsia"/>
          <w:highlight w:val="none"/>
          <w:u w:val="none"/>
        </w:rPr>
        <w:t>月</w:t>
      </w:r>
      <w:r>
        <w:rPr>
          <w:rFonts w:hint="eastAsia"/>
          <w:highlight w:val="none"/>
          <w:u w:val="single"/>
          <w:lang w:val="en-US" w:eastAsia="zh-CN"/>
        </w:rPr>
        <w:t xml:space="preserve"> 13 </w:t>
      </w:r>
      <w:r>
        <w:rPr>
          <w:rFonts w:hint="eastAsia"/>
          <w:highlight w:val="none"/>
          <w:u w:val="none"/>
        </w:rPr>
        <w:t>日</w:t>
      </w:r>
      <w:bookmarkEnd w:id="5"/>
      <w:bookmarkEnd w:id="6"/>
      <w:bookmarkEnd w:id="7"/>
      <w:r>
        <w:rPr>
          <w:rFonts w:hint="eastAsia"/>
          <w:highlight w:val="none"/>
          <w:u w:val="none"/>
          <w:lang w:eastAsia="zh-CN"/>
        </w:rPr>
        <w:t>，</w:t>
      </w:r>
      <w:r>
        <w:rPr>
          <w:rFonts w:hint="eastAsia"/>
          <w:highlight w:val="none"/>
          <w:u w:val="none"/>
          <w:lang w:val="en-US" w:eastAsia="zh-CN"/>
        </w:rPr>
        <w:t>上午8：30至11：30下午15:30至17:30</w:t>
      </w:r>
      <w:r>
        <w:rPr>
          <w:rFonts w:hint="eastAsia"/>
          <w:highlight w:val="none"/>
          <w:lang w:eastAsia="zh-CN"/>
        </w:rPr>
        <w:t>。</w:t>
      </w:r>
    </w:p>
    <w:bookmarkEnd w:id="8"/>
    <w:bookmarkEnd w:id="9"/>
    <w:bookmarkEnd w:id="10"/>
    <w:p>
      <w:pPr>
        <w:keepNext w:val="0"/>
        <w:keepLines w:val="0"/>
        <w:pageBreakBefore w:val="0"/>
        <w:widowControl w:val="0"/>
        <w:kinsoku/>
        <w:wordWrap/>
        <w:overflowPunct/>
        <w:topLinePunct w:val="0"/>
        <w:autoSpaceDE/>
        <w:autoSpaceDN/>
        <w:bidi w:val="0"/>
        <w:adjustRightInd/>
        <w:snapToGrid w:val="0"/>
        <w:spacing w:line="432" w:lineRule="auto"/>
        <w:ind w:left="0" w:leftChars="0" w:firstLine="420" w:firstLineChars="200"/>
        <w:textAlignment w:val="auto"/>
        <w:rPr>
          <w:rFonts w:hint="eastAsia"/>
          <w:highlight w:val="none"/>
          <w:lang w:val="en-US" w:eastAsia="zh-CN"/>
        </w:rPr>
      </w:pPr>
      <w:r>
        <w:rPr>
          <w:rFonts w:hint="eastAsia"/>
          <w:highlight w:val="none"/>
          <w:lang w:val="en-US" w:eastAsia="zh-CN"/>
        </w:rPr>
        <w:t>2.地点：平顶山市湛河区马庄街道轻工路与城乡路交叉口向西100米路南8楼808室。</w:t>
      </w:r>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420" w:firstLineChars="200"/>
        <w:textAlignment w:val="auto"/>
        <w:rPr>
          <w:rFonts w:hint="eastAsia"/>
          <w:highlight w:val="none"/>
          <w:lang w:val="en-US" w:eastAsia="zh-CN"/>
        </w:rPr>
      </w:pPr>
      <w:r>
        <w:rPr>
          <w:rFonts w:hint="eastAsia"/>
          <w:highlight w:val="none"/>
          <w:lang w:val="en-US" w:eastAsia="zh-CN"/>
        </w:rPr>
        <w:t>3.方式：现场购买；潜在供应商须出示法定代表人身份证明文件及身份证或委托代理人授权委托书及委托代理人身份证、营业执照副本及复印件（须加盖公章）一份。</w:t>
      </w:r>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420" w:firstLineChars="200"/>
        <w:textAlignment w:val="auto"/>
        <w:rPr>
          <w:rFonts w:hint="eastAsia"/>
          <w:highlight w:val="none"/>
        </w:rPr>
      </w:pPr>
      <w:r>
        <w:rPr>
          <w:rFonts w:hint="eastAsia"/>
          <w:highlight w:val="none"/>
          <w:lang w:val="en-US" w:eastAsia="zh-CN"/>
        </w:rPr>
        <w:t>4.售价：300元/套，售后不退。</w:t>
      </w:r>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0" w:firstLineChars="0"/>
        <w:textAlignment w:val="auto"/>
        <w:outlineLvl w:val="9"/>
        <w:rPr>
          <w:rFonts w:hint="eastAsia" w:ascii="黑体" w:hAnsi="黑体" w:eastAsia="黑体" w:cs="黑体"/>
          <w:sz w:val="24"/>
          <w:szCs w:val="22"/>
          <w:lang w:val="en-US" w:eastAsia="zh-CN"/>
        </w:rPr>
      </w:pPr>
      <w:bookmarkStart w:id="11" w:name="_Toc7434"/>
      <w:bookmarkStart w:id="12" w:name="_Toc23473"/>
      <w:bookmarkStart w:id="13" w:name="_Toc3079"/>
      <w:bookmarkStart w:id="14" w:name="_Toc6055"/>
      <w:bookmarkStart w:id="15" w:name="_Toc30300"/>
      <w:bookmarkStart w:id="16" w:name="_Toc2426"/>
      <w:r>
        <w:rPr>
          <w:rFonts w:hint="eastAsia" w:ascii="黑体" w:hAnsi="黑体" w:eastAsia="黑体" w:cs="黑体"/>
          <w:sz w:val="24"/>
          <w:szCs w:val="22"/>
          <w:lang w:val="en-US" w:eastAsia="zh-CN"/>
        </w:rPr>
        <w:t>四、递交响应文件截止时间（磋商截止时间）</w:t>
      </w:r>
      <w:bookmarkEnd w:id="11"/>
      <w:bookmarkEnd w:id="12"/>
      <w:bookmarkEnd w:id="13"/>
      <w:r>
        <w:rPr>
          <w:rFonts w:hint="eastAsia" w:ascii="黑体" w:hAnsi="黑体" w:eastAsia="黑体" w:cs="黑体"/>
          <w:sz w:val="24"/>
          <w:szCs w:val="22"/>
          <w:lang w:val="en-US" w:eastAsia="zh-CN"/>
        </w:rPr>
        <w:t>、开标时间和地点</w:t>
      </w:r>
    </w:p>
    <w:bookmarkEnd w:id="14"/>
    <w:bookmarkEnd w:id="15"/>
    <w:bookmarkEnd w:id="16"/>
    <w:p>
      <w:pPr>
        <w:keepNext w:val="0"/>
        <w:keepLines w:val="0"/>
        <w:pageBreakBefore w:val="0"/>
        <w:widowControl w:val="0"/>
        <w:kinsoku/>
        <w:wordWrap/>
        <w:overflowPunct/>
        <w:topLinePunct w:val="0"/>
        <w:autoSpaceDE/>
        <w:autoSpaceDN/>
        <w:bidi w:val="0"/>
        <w:adjustRightInd/>
        <w:snapToGrid w:val="0"/>
        <w:spacing w:line="432" w:lineRule="auto"/>
        <w:ind w:left="0" w:leftChars="0" w:firstLine="420" w:firstLineChars="200"/>
        <w:textAlignment w:val="auto"/>
        <w:rPr>
          <w:rFonts w:hint="eastAsia"/>
          <w:highlight w:val="none"/>
          <w:lang w:val="en-US" w:eastAsia="zh-CN"/>
        </w:rPr>
      </w:pPr>
      <w:r>
        <w:rPr>
          <w:rFonts w:hint="eastAsia"/>
          <w:highlight w:val="none"/>
        </w:rPr>
        <w:t>1</w:t>
      </w:r>
      <w:r>
        <w:rPr>
          <w:rFonts w:hint="eastAsia"/>
          <w:highlight w:val="none"/>
          <w:lang w:val="en-US" w:eastAsia="zh-CN"/>
        </w:rPr>
        <w:t>．</w:t>
      </w:r>
      <w:r>
        <w:rPr>
          <w:rFonts w:hint="eastAsia"/>
          <w:szCs w:val="22"/>
          <w:highlight w:val="none"/>
        </w:rPr>
        <w:t>时间：202</w:t>
      </w:r>
      <w:r>
        <w:rPr>
          <w:rFonts w:hint="eastAsia"/>
          <w:szCs w:val="22"/>
          <w:highlight w:val="none"/>
          <w:lang w:val="en-US" w:eastAsia="zh-CN"/>
        </w:rPr>
        <w:t>3</w:t>
      </w:r>
      <w:r>
        <w:rPr>
          <w:rFonts w:hint="eastAsia"/>
          <w:szCs w:val="22"/>
          <w:highlight w:val="none"/>
        </w:rPr>
        <w:t>年</w:t>
      </w:r>
      <w:r>
        <w:rPr>
          <w:rFonts w:hint="eastAsia"/>
          <w:highlight w:val="none"/>
          <w:u w:val="single"/>
          <w:lang w:val="en-US" w:eastAsia="zh-CN"/>
        </w:rPr>
        <w:t xml:space="preserve"> 6 </w:t>
      </w:r>
      <w:r>
        <w:rPr>
          <w:rFonts w:hint="eastAsia"/>
          <w:highlight w:val="none"/>
          <w:u w:val="none"/>
        </w:rPr>
        <w:t>月</w:t>
      </w:r>
      <w:r>
        <w:rPr>
          <w:rFonts w:hint="eastAsia"/>
          <w:highlight w:val="none"/>
          <w:u w:val="single"/>
          <w:lang w:val="en-US" w:eastAsia="zh-CN"/>
        </w:rPr>
        <w:t xml:space="preserve"> 19 </w:t>
      </w:r>
      <w:r>
        <w:rPr>
          <w:rFonts w:hint="eastAsia"/>
          <w:szCs w:val="22"/>
          <w:highlight w:val="none"/>
          <w:u w:val="none"/>
        </w:rPr>
        <w:t>日</w:t>
      </w:r>
      <w:r>
        <w:rPr>
          <w:rFonts w:hint="eastAsia"/>
          <w:highlight w:val="none"/>
          <w:u w:val="single"/>
          <w:lang w:val="en-US" w:eastAsia="zh-CN"/>
        </w:rPr>
        <w:t xml:space="preserve"> 9 </w:t>
      </w:r>
      <w:r>
        <w:rPr>
          <w:rFonts w:hint="eastAsia"/>
          <w:szCs w:val="22"/>
          <w:highlight w:val="none"/>
          <w:u w:val="none"/>
        </w:rPr>
        <w:t>时</w:t>
      </w:r>
      <w:r>
        <w:rPr>
          <w:rFonts w:hint="eastAsia"/>
          <w:highlight w:val="none"/>
          <w:u w:val="single"/>
          <w:lang w:val="en-US" w:eastAsia="zh-CN"/>
        </w:rPr>
        <w:t xml:space="preserve"> 30 </w:t>
      </w:r>
      <w:r>
        <w:rPr>
          <w:rFonts w:hint="eastAsia"/>
          <w:szCs w:val="22"/>
          <w:highlight w:val="none"/>
        </w:rPr>
        <w:t>分</w:t>
      </w:r>
      <w:bookmarkStart w:id="17" w:name="_Toc6012"/>
      <w:bookmarkStart w:id="18" w:name="_Toc20744"/>
      <w:bookmarkStart w:id="19" w:name="_Toc10713"/>
    </w:p>
    <w:bookmarkEnd w:id="17"/>
    <w:bookmarkEnd w:id="18"/>
    <w:bookmarkEnd w:id="19"/>
    <w:p>
      <w:pPr>
        <w:keepNext w:val="0"/>
        <w:keepLines w:val="0"/>
        <w:pageBreakBefore w:val="0"/>
        <w:widowControl w:val="0"/>
        <w:kinsoku/>
        <w:wordWrap/>
        <w:overflowPunct/>
        <w:topLinePunct w:val="0"/>
        <w:autoSpaceDE/>
        <w:autoSpaceDN/>
        <w:bidi w:val="0"/>
        <w:adjustRightInd/>
        <w:snapToGrid w:val="0"/>
        <w:spacing w:line="432" w:lineRule="auto"/>
        <w:ind w:left="0" w:leftChars="0" w:firstLine="420" w:firstLineChars="200"/>
        <w:textAlignment w:val="auto"/>
        <w:outlineLvl w:val="9"/>
        <w:rPr>
          <w:rFonts w:hint="eastAsia"/>
          <w:szCs w:val="22"/>
          <w:highlight w:val="none"/>
        </w:rPr>
      </w:pPr>
      <w:r>
        <w:rPr>
          <w:rFonts w:hint="eastAsia"/>
          <w:szCs w:val="22"/>
          <w:highlight w:val="none"/>
          <w:lang w:val="en-US" w:eastAsia="zh-CN"/>
        </w:rPr>
        <w:t>2.地点：平顶山市湛河区马庄街道轻工路与城乡路交叉口向西100米路南8楼会议室。</w:t>
      </w:r>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0" w:firstLineChars="0"/>
        <w:textAlignment w:val="auto"/>
        <w:outlineLvl w:val="9"/>
        <w:rPr>
          <w:rFonts w:hint="default" w:ascii="黑体" w:hAnsi="黑体" w:eastAsia="黑体" w:cs="黑体"/>
          <w:sz w:val="24"/>
          <w:szCs w:val="22"/>
          <w:lang w:val="en-US" w:eastAsia="zh-CN"/>
        </w:rPr>
      </w:pPr>
      <w:bookmarkStart w:id="20" w:name="_Toc12526"/>
      <w:bookmarkStart w:id="21" w:name="_Toc15647"/>
      <w:bookmarkStart w:id="22" w:name="_Toc24810"/>
      <w:bookmarkStart w:id="23" w:name="_Toc4529"/>
      <w:bookmarkStart w:id="24" w:name="_Hlk496104800"/>
      <w:bookmarkStart w:id="25" w:name="_Toc17472"/>
      <w:bookmarkStart w:id="26" w:name="_Toc28393"/>
      <w:r>
        <w:rPr>
          <w:rFonts w:hint="eastAsia" w:ascii="黑体" w:hAnsi="黑体" w:eastAsia="黑体" w:cs="黑体"/>
          <w:sz w:val="24"/>
          <w:szCs w:val="22"/>
          <w:lang w:val="en-US" w:eastAsia="zh-CN"/>
        </w:rPr>
        <w:t>五、</w:t>
      </w:r>
      <w:bookmarkEnd w:id="20"/>
      <w:bookmarkEnd w:id="21"/>
      <w:bookmarkEnd w:id="22"/>
      <w:r>
        <w:rPr>
          <w:rFonts w:hint="eastAsia" w:ascii="黑体" w:hAnsi="黑体" w:eastAsia="黑体" w:cs="黑体"/>
          <w:sz w:val="24"/>
          <w:szCs w:val="22"/>
          <w:lang w:val="en-US" w:eastAsia="zh-CN"/>
        </w:rPr>
        <w:t>公告期限</w:t>
      </w:r>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420" w:firstLineChars="200"/>
        <w:textAlignment w:val="auto"/>
        <w:rPr>
          <w:rFonts w:hint="eastAsia"/>
          <w:highlight w:val="none"/>
        </w:rPr>
      </w:pPr>
      <w:bookmarkStart w:id="27" w:name="_Toc9298"/>
      <w:bookmarkStart w:id="28" w:name="_Toc3481"/>
      <w:bookmarkStart w:id="29" w:name="_Toc26037"/>
      <w:r>
        <w:rPr>
          <w:rFonts w:hint="eastAsia"/>
          <w:szCs w:val="22"/>
          <w:highlight w:val="none"/>
          <w:lang w:eastAsia="zh-CN"/>
        </w:rPr>
        <w:t>自本公告发布之日起</w:t>
      </w:r>
      <w:r>
        <w:rPr>
          <w:rFonts w:hint="eastAsia"/>
          <w:szCs w:val="22"/>
          <w:highlight w:val="none"/>
          <w:lang w:val="en-US" w:eastAsia="zh-CN"/>
        </w:rPr>
        <w:t>3</w:t>
      </w:r>
      <w:r>
        <w:rPr>
          <w:rFonts w:hint="eastAsia"/>
          <w:szCs w:val="22"/>
          <w:highlight w:val="none"/>
          <w:lang w:eastAsia="zh-CN"/>
        </w:rPr>
        <w:t>个工作日</w:t>
      </w:r>
      <w:r>
        <w:rPr>
          <w:rFonts w:hint="eastAsia"/>
          <w:highlight w:val="none"/>
        </w:rPr>
        <w:t>。</w:t>
      </w:r>
      <w:bookmarkEnd w:id="27"/>
      <w:bookmarkEnd w:id="28"/>
      <w:bookmarkEnd w:id="29"/>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0" w:firstLineChars="0"/>
        <w:textAlignment w:val="auto"/>
        <w:outlineLvl w:val="9"/>
        <w:rPr>
          <w:rFonts w:hint="default" w:ascii="黑体" w:hAnsi="黑体" w:eastAsia="黑体" w:cs="黑体"/>
          <w:sz w:val="24"/>
          <w:szCs w:val="22"/>
          <w:lang w:val="en-US" w:eastAsia="zh-CN"/>
        </w:rPr>
      </w:pPr>
      <w:bookmarkStart w:id="30" w:name="_Toc30995"/>
      <w:bookmarkStart w:id="31" w:name="_Toc16383"/>
      <w:bookmarkStart w:id="32" w:name="_Toc24896"/>
      <w:r>
        <w:rPr>
          <w:rFonts w:hint="eastAsia" w:ascii="黑体" w:hAnsi="黑体" w:eastAsia="黑体" w:cs="黑体"/>
          <w:sz w:val="24"/>
          <w:szCs w:val="22"/>
          <w:lang w:val="en-US" w:eastAsia="zh-CN"/>
        </w:rPr>
        <w:t>六、</w:t>
      </w:r>
      <w:bookmarkEnd w:id="30"/>
      <w:bookmarkEnd w:id="31"/>
      <w:bookmarkEnd w:id="32"/>
      <w:r>
        <w:rPr>
          <w:rFonts w:hint="eastAsia" w:ascii="黑体" w:hAnsi="黑体" w:eastAsia="黑体" w:cs="黑体"/>
          <w:sz w:val="24"/>
          <w:szCs w:val="22"/>
          <w:lang w:val="en-US" w:eastAsia="zh-CN"/>
        </w:rPr>
        <w:t>其他补充事宜</w:t>
      </w:r>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420" w:firstLineChars="200"/>
        <w:textAlignment w:val="auto"/>
        <w:rPr>
          <w:rFonts w:hint="eastAsia"/>
          <w:highlight w:val="none"/>
          <w:u w:val="none"/>
        </w:rPr>
      </w:pPr>
      <w:bookmarkStart w:id="33" w:name="_Toc822"/>
      <w:bookmarkStart w:id="34" w:name="_Toc31937"/>
      <w:bookmarkStart w:id="35" w:name="_Toc13331"/>
      <w:r>
        <w:rPr>
          <w:rFonts w:hint="eastAsia"/>
          <w:highlight w:val="none"/>
        </w:rPr>
        <w:t>本公</w:t>
      </w:r>
      <w:r>
        <w:rPr>
          <w:rFonts w:hint="eastAsia"/>
          <w:highlight w:val="none"/>
          <w:u w:val="none"/>
        </w:rPr>
        <w:t>告在</w:t>
      </w:r>
      <w:r>
        <w:rPr>
          <w:rFonts w:hint="eastAsia"/>
          <w:highlight w:val="none"/>
          <w:u w:val="none"/>
          <w:lang w:val="en-US" w:eastAsia="zh-CN"/>
        </w:rPr>
        <w:t>《中国采购与招标网》、《平顶山市第十一中学》校园网</w:t>
      </w:r>
      <w:r>
        <w:rPr>
          <w:rFonts w:hint="eastAsia"/>
          <w:highlight w:val="none"/>
          <w:u w:val="none"/>
        </w:rPr>
        <w:t>上发布。</w:t>
      </w:r>
      <w:bookmarkEnd w:id="33"/>
      <w:bookmarkEnd w:id="34"/>
      <w:bookmarkEnd w:id="35"/>
    </w:p>
    <w:p>
      <w:pPr>
        <w:keepNext w:val="0"/>
        <w:keepLines w:val="0"/>
        <w:pageBreakBefore w:val="0"/>
        <w:widowControl w:val="0"/>
        <w:kinsoku/>
        <w:wordWrap/>
        <w:overflowPunct/>
        <w:topLinePunct w:val="0"/>
        <w:autoSpaceDE/>
        <w:autoSpaceDN/>
        <w:bidi w:val="0"/>
        <w:adjustRightInd/>
        <w:snapToGrid w:val="0"/>
        <w:spacing w:line="432" w:lineRule="auto"/>
        <w:ind w:left="0" w:leftChars="0" w:firstLine="0" w:firstLineChars="0"/>
        <w:textAlignment w:val="auto"/>
        <w:outlineLvl w:val="9"/>
        <w:rPr>
          <w:rFonts w:hint="eastAsia" w:ascii="黑体" w:hAnsi="黑体" w:eastAsia="黑体" w:cs="黑体"/>
          <w:sz w:val="24"/>
          <w:szCs w:val="22"/>
          <w:lang w:val="en-US" w:eastAsia="zh-CN"/>
        </w:rPr>
      </w:pPr>
      <w:bookmarkStart w:id="36" w:name="_Toc20352"/>
      <w:bookmarkStart w:id="37" w:name="_Toc15156"/>
      <w:bookmarkStart w:id="38" w:name="_Toc3927"/>
      <w:r>
        <w:rPr>
          <w:rFonts w:hint="eastAsia" w:ascii="黑体" w:hAnsi="黑体" w:eastAsia="黑体" w:cs="黑体"/>
          <w:sz w:val="24"/>
          <w:szCs w:val="22"/>
          <w:lang w:val="en-US" w:eastAsia="zh-CN"/>
        </w:rPr>
        <w:t>七、</w:t>
      </w:r>
      <w:bookmarkEnd w:id="36"/>
      <w:bookmarkEnd w:id="37"/>
      <w:bookmarkEnd w:id="38"/>
      <w:r>
        <w:rPr>
          <w:rFonts w:hint="eastAsia" w:ascii="黑体" w:hAnsi="黑体" w:eastAsia="黑体" w:cs="黑体"/>
          <w:sz w:val="24"/>
          <w:szCs w:val="22"/>
          <w:lang w:val="en-US" w:eastAsia="zh-CN"/>
        </w:rPr>
        <w:t>凡对本次采购提出询问，请按以下方式联系。</w:t>
      </w:r>
    </w:p>
    <w:bookmarkEnd w:id="23"/>
    <w:bookmarkEnd w:id="24"/>
    <w:bookmarkEnd w:id="25"/>
    <w:bookmarkEnd w:id="26"/>
    <w:p>
      <w:pPr>
        <w:keepNext w:val="0"/>
        <w:keepLines w:val="0"/>
        <w:pageBreakBefore w:val="0"/>
        <w:widowControl w:val="0"/>
        <w:kinsoku/>
        <w:wordWrap/>
        <w:overflowPunct/>
        <w:topLinePunct w:val="0"/>
        <w:autoSpaceDE/>
        <w:autoSpaceDN/>
        <w:bidi w:val="0"/>
        <w:adjustRightInd/>
        <w:snapToGrid w:val="0"/>
        <w:spacing w:line="432" w:lineRule="auto"/>
        <w:ind w:firstLine="420" w:firstLineChars="200"/>
        <w:textAlignment w:val="auto"/>
        <w:rPr>
          <w:rFonts w:hint="eastAsia"/>
          <w:highlight w:val="none"/>
        </w:rPr>
      </w:pPr>
      <w:r>
        <w:rPr>
          <w:rFonts w:hint="eastAsia"/>
          <w:highlight w:val="none"/>
        </w:rPr>
        <w:t>名称：平顶山市第十一中学</w:t>
      </w:r>
    </w:p>
    <w:p>
      <w:pPr>
        <w:keepNext w:val="0"/>
        <w:keepLines w:val="0"/>
        <w:pageBreakBefore w:val="0"/>
        <w:widowControl w:val="0"/>
        <w:kinsoku/>
        <w:wordWrap/>
        <w:overflowPunct/>
        <w:topLinePunct w:val="0"/>
        <w:autoSpaceDE/>
        <w:autoSpaceDN/>
        <w:bidi w:val="0"/>
        <w:adjustRightInd/>
        <w:snapToGrid w:val="0"/>
        <w:spacing w:line="432" w:lineRule="auto"/>
        <w:ind w:firstLine="420" w:firstLineChars="200"/>
        <w:textAlignment w:val="auto"/>
        <w:rPr>
          <w:rFonts w:hint="eastAsia"/>
          <w:highlight w:val="none"/>
        </w:rPr>
      </w:pPr>
      <w:r>
        <w:rPr>
          <w:rFonts w:hint="eastAsia"/>
          <w:highlight w:val="none"/>
        </w:rPr>
        <w:t>地址：河南省平顶山市湛河区电厂路西段</w:t>
      </w:r>
    </w:p>
    <w:p>
      <w:pPr>
        <w:keepNext w:val="0"/>
        <w:keepLines w:val="0"/>
        <w:pageBreakBefore w:val="0"/>
        <w:widowControl w:val="0"/>
        <w:kinsoku/>
        <w:wordWrap/>
        <w:overflowPunct/>
        <w:topLinePunct w:val="0"/>
        <w:autoSpaceDE/>
        <w:autoSpaceDN/>
        <w:bidi w:val="0"/>
        <w:adjustRightInd/>
        <w:snapToGrid w:val="0"/>
        <w:spacing w:line="432" w:lineRule="auto"/>
        <w:ind w:firstLine="420" w:firstLineChars="200"/>
        <w:textAlignment w:val="auto"/>
        <w:rPr>
          <w:rFonts w:hint="eastAsia"/>
          <w:highlight w:val="none"/>
        </w:rPr>
      </w:pPr>
      <w:r>
        <w:rPr>
          <w:rFonts w:hint="eastAsia"/>
          <w:highlight w:val="none"/>
        </w:rPr>
        <w:t>联系人：丁先生</w:t>
      </w:r>
    </w:p>
    <w:p>
      <w:pPr>
        <w:keepNext w:val="0"/>
        <w:keepLines w:val="0"/>
        <w:pageBreakBefore w:val="0"/>
        <w:widowControl w:val="0"/>
        <w:kinsoku/>
        <w:wordWrap/>
        <w:overflowPunct/>
        <w:topLinePunct w:val="0"/>
        <w:autoSpaceDE/>
        <w:autoSpaceDN/>
        <w:bidi w:val="0"/>
        <w:adjustRightInd/>
        <w:snapToGrid w:val="0"/>
        <w:spacing w:line="432" w:lineRule="auto"/>
        <w:ind w:firstLine="420" w:firstLineChars="200"/>
        <w:textAlignment w:val="auto"/>
        <w:rPr>
          <w:rFonts w:hint="eastAsia"/>
          <w:highlight w:val="none"/>
        </w:rPr>
      </w:pPr>
      <w:r>
        <w:rPr>
          <w:rFonts w:hint="eastAsia"/>
          <w:highlight w:val="none"/>
        </w:rPr>
        <w:t>联系方式：0375-2560906</w:t>
      </w:r>
    </w:p>
    <w:p>
      <w:pPr>
        <w:keepNext w:val="0"/>
        <w:keepLines w:val="0"/>
        <w:pageBreakBefore w:val="0"/>
        <w:widowControl w:val="0"/>
        <w:kinsoku/>
        <w:wordWrap/>
        <w:overflowPunct/>
        <w:topLinePunct w:val="0"/>
        <w:autoSpaceDE/>
        <w:autoSpaceDN/>
        <w:bidi w:val="0"/>
        <w:adjustRightInd/>
        <w:snapToGrid w:val="0"/>
        <w:spacing w:line="432" w:lineRule="auto"/>
        <w:ind w:firstLine="420" w:firstLineChars="200"/>
        <w:textAlignment w:val="auto"/>
        <w:rPr>
          <w:rFonts w:hint="eastAsia"/>
          <w:highlight w:val="none"/>
        </w:rPr>
      </w:pPr>
      <w:r>
        <w:rPr>
          <w:rFonts w:hint="eastAsia"/>
          <w:highlight w:val="none"/>
        </w:rPr>
        <w:t>招标代理机构：平顶山轩启工程咨询有限公司</w:t>
      </w:r>
    </w:p>
    <w:p>
      <w:pPr>
        <w:keepNext w:val="0"/>
        <w:keepLines w:val="0"/>
        <w:pageBreakBefore w:val="0"/>
        <w:widowControl w:val="0"/>
        <w:kinsoku/>
        <w:wordWrap/>
        <w:overflowPunct/>
        <w:topLinePunct w:val="0"/>
        <w:autoSpaceDE/>
        <w:autoSpaceDN/>
        <w:bidi w:val="0"/>
        <w:adjustRightInd/>
        <w:snapToGrid w:val="0"/>
        <w:spacing w:line="432" w:lineRule="auto"/>
        <w:ind w:firstLine="420" w:firstLineChars="200"/>
        <w:textAlignment w:val="auto"/>
        <w:rPr>
          <w:rFonts w:hint="eastAsia"/>
          <w:highlight w:val="none"/>
        </w:rPr>
      </w:pPr>
      <w:r>
        <w:rPr>
          <w:rFonts w:hint="eastAsia"/>
          <w:highlight w:val="none"/>
        </w:rPr>
        <w:t>地址：河南省平顶山市湛河区马庄街道轻工路与城乡路交叉口向西100米路南8楼808室</w:t>
      </w:r>
    </w:p>
    <w:p>
      <w:pPr>
        <w:keepNext w:val="0"/>
        <w:keepLines w:val="0"/>
        <w:pageBreakBefore w:val="0"/>
        <w:widowControl w:val="0"/>
        <w:kinsoku/>
        <w:wordWrap/>
        <w:overflowPunct/>
        <w:topLinePunct w:val="0"/>
        <w:autoSpaceDE/>
        <w:autoSpaceDN/>
        <w:bidi w:val="0"/>
        <w:adjustRightInd/>
        <w:snapToGrid w:val="0"/>
        <w:spacing w:line="432" w:lineRule="auto"/>
        <w:ind w:firstLine="420" w:firstLineChars="200"/>
        <w:textAlignment w:val="auto"/>
        <w:rPr>
          <w:rFonts w:hint="eastAsia"/>
          <w:highlight w:val="none"/>
        </w:rPr>
      </w:pPr>
      <w:r>
        <w:rPr>
          <w:rFonts w:hint="eastAsia"/>
          <w:highlight w:val="none"/>
        </w:rPr>
        <w:t>联系人：许女士</w:t>
      </w:r>
    </w:p>
    <w:p>
      <w:pPr>
        <w:ind w:firstLine="420" w:firstLineChars="200"/>
      </w:pPr>
      <w:r>
        <w:rPr>
          <w:rFonts w:hint="eastAsia"/>
          <w:highlight w:val="none"/>
        </w:rPr>
        <w:t>联系电话：13409454555</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hZDRiMWIyNWI5ZDU1N2M1OWRkYjI3OGZjODFhYTUifQ=="/>
  </w:docVars>
  <w:rsids>
    <w:rsidRoot w:val="00000000"/>
    <w:rsid w:val="090F1D05"/>
    <w:rsid w:val="0D4E3C51"/>
    <w:rsid w:val="0EC00B7E"/>
    <w:rsid w:val="0EF820C6"/>
    <w:rsid w:val="11D9195D"/>
    <w:rsid w:val="18DC0363"/>
    <w:rsid w:val="21815F4B"/>
    <w:rsid w:val="236B0C61"/>
    <w:rsid w:val="26143C3F"/>
    <w:rsid w:val="2BAF49D7"/>
    <w:rsid w:val="2D9B2143"/>
    <w:rsid w:val="33522C31"/>
    <w:rsid w:val="357A2F85"/>
    <w:rsid w:val="36FD70BD"/>
    <w:rsid w:val="3A061862"/>
    <w:rsid w:val="46E5118C"/>
    <w:rsid w:val="52BB6C5F"/>
    <w:rsid w:val="5F35124F"/>
    <w:rsid w:val="6A9E7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宋体" w:hAnsi="宋体" w:eastAsia="宋体" w:cs="宋体"/>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qFormat/>
    <w:uiPriority w:val="0"/>
    <w:pPr>
      <w:spacing w:after="120"/>
    </w:pPr>
    <w:rPr>
      <w:rFonts w:ascii="Calibri" w:hAnsi="Calibri" w:cs="Times New Roman"/>
      <w:szCs w:val="22"/>
    </w:rPr>
  </w:style>
  <w:style w:type="paragraph" w:styleId="4">
    <w:name w:val="Body Text First Indent 2"/>
    <w:basedOn w:val="5"/>
    <w:next w:val="7"/>
    <w:unhideWhenUsed/>
    <w:qFormat/>
    <w:uiPriority w:val="99"/>
    <w:pPr>
      <w:tabs>
        <w:tab w:val="left" w:pos="0"/>
      </w:tabs>
      <w:ind w:firstLine="420" w:firstLineChars="200"/>
    </w:pPr>
  </w:style>
  <w:style w:type="paragraph" w:styleId="5">
    <w:name w:val="Body Text Indent"/>
    <w:basedOn w:val="1"/>
    <w:next w:val="6"/>
    <w:qFormat/>
    <w:uiPriority w:val="0"/>
    <w:pPr>
      <w:spacing w:after="120" w:afterLines="0"/>
      <w:ind w:left="200" w:leftChars="200"/>
    </w:pPr>
  </w:style>
  <w:style w:type="paragraph" w:styleId="6">
    <w:name w:val="envelope return"/>
    <w:basedOn w:val="1"/>
    <w:unhideWhenUsed/>
    <w:qFormat/>
    <w:uiPriority w:val="99"/>
    <w:pPr>
      <w:snapToGrid w:val="0"/>
    </w:pPr>
    <w:rPr>
      <w:rFonts w:ascii="Arial" w:hAnsi="Arial"/>
    </w:rPr>
  </w:style>
  <w:style w:type="paragraph" w:styleId="7">
    <w:name w:val="Date"/>
    <w:basedOn w:val="1"/>
    <w:next w:val="1"/>
    <w:qFormat/>
    <w:uiPriority w:val="0"/>
    <w:pPr>
      <w:ind w:left="100" w:leftChars="2500"/>
    </w:pPr>
    <w:rPr>
      <w:szCs w:val="24"/>
    </w:rPr>
  </w:style>
  <w:style w:type="table" w:styleId="9">
    <w:name w:val="Table Grid"/>
    <w:basedOn w:val="8"/>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1634</Words>
  <Characters>1816</Characters>
  <Lines>0</Lines>
  <Paragraphs>0</Paragraphs>
  <TotalTime>0</TotalTime>
  <ScaleCrop>false</ScaleCrop>
  <LinksUpToDate>false</LinksUpToDate>
  <CharactersWithSpaces>1842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2023-06-01T03:24:00Z</dcterms:created>
  <dc:creator>92113</dc:creator>
  <cp:lastModifiedBy>王凤</cp:lastModifiedBy>
  <cp:lastPrinted>2023-06-01T05:44:00Z</cp:lastPrinted>
  <dcterms:modified xsi:type="dcterms:W3CDTF">2023-06-06T09:54:19Z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28118B914BD44E17A0DD9BB69080F360_12</vt:lpwstr>
  </property>
</Properties>
</file>