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道德与法治学科作业</w:t>
      </w:r>
      <w:r>
        <w:rPr>
          <w:rFonts w:hint="eastAsia"/>
          <w:b/>
          <w:sz w:val="44"/>
          <w:szCs w:val="44"/>
          <w:lang w:val="en-US" w:eastAsia="zh-CN"/>
        </w:rPr>
        <w:t>评价</w:t>
      </w:r>
      <w:r>
        <w:rPr>
          <w:b/>
          <w:sz w:val="44"/>
          <w:szCs w:val="44"/>
        </w:rPr>
        <w:t>制度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作为</w:t>
      </w:r>
      <w:bookmarkStart w:id="0" w:name="_GoBack"/>
      <w:bookmarkEnd w:id="0"/>
      <w:r>
        <w:rPr>
          <w:rFonts w:hint="eastAsia"/>
          <w:b w:val="0"/>
          <w:bCs/>
          <w:sz w:val="28"/>
          <w:szCs w:val="28"/>
          <w:lang w:val="en-US" w:eastAsia="zh-CN"/>
        </w:rPr>
        <w:t>道德与法治学科老师，所教班级较多，学生人数也多，作业不可能做到全批全改。可将每班作业，分为“A和B”两大组。标注“A”组的作业单周交，标注“B”组的作业，双周交，以减轻老师批改作业的量。</w:t>
      </w:r>
    </w:p>
    <w:p>
      <w:pPr>
        <w:numPr>
          <w:ilvl w:val="0"/>
          <w:numId w:val="1"/>
        </w:numPr>
        <w:jc w:val="left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道德与法治学科，每周每班2节课，每月8节课。要求每个班级一个月作业的批改不少于3次。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作业的批改，不能简单写一个“阅”字，可分为“优、良、差”等级，或适当加一句评语或鼓励的话语。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严禁学生帮助批改作业。如果学生举报，老师让学生批改作业，已经发现在学校通报批评，并取消该老师本年度评先评优资格。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8D843"/>
    <w:multiLevelType w:val="singleLevel"/>
    <w:tmpl w:val="59C8D8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784"/>
    <w:rsid w:val="004B3784"/>
    <w:rsid w:val="00B647AE"/>
    <w:rsid w:val="00BD75DC"/>
    <w:rsid w:val="2C7649A9"/>
    <w:rsid w:val="792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10</TotalTime>
  <ScaleCrop>false</ScaleCrop>
  <LinksUpToDate>false</LinksUpToDate>
  <CharactersWithSpaces>261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2021-09-17T12:27:00Z</dcterms:created>
  <dc:creator>C4030</dc:creator>
  <cp:lastModifiedBy>Grace</cp:lastModifiedBy>
  <dcterms:modified xsi:type="dcterms:W3CDTF">2021-12-07T08:32:41Z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85ECFE125DFB4FC18FBF7CED91145BF1</vt:lpwstr>
  </property>
</Properties>
</file>