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ind w:left="106"/>
        <w:rPr>
          <w:rFonts w:hint="eastAsia" w:ascii="黑体" w:eastAsia="黑体"/>
        </w:rPr>
      </w:pPr>
      <w:bookmarkStart w:id="0" w:name="_GoBack"/>
      <w:bookmarkEnd w:id="0"/>
      <w:r>
        <w:rPr>
          <w:rFonts w:hint="eastAsia" w:ascii="黑体" w:eastAsia="黑体"/>
          <w:spacing w:val="-27"/>
        </w:rPr>
        <w:t xml:space="preserve">附件 </w:t>
      </w:r>
      <w:r>
        <w:rPr>
          <w:rFonts w:hint="eastAsia" w:ascii="黑体" w:eastAsia="黑体"/>
        </w:rPr>
        <w:t>1</w:t>
      </w:r>
    </w:p>
    <w:p>
      <w:pPr>
        <w:pStyle w:val="2"/>
        <w:tabs>
          <w:tab w:val="left" w:pos="2967"/>
        </w:tabs>
        <w:spacing w:before="428" w:line="709" w:lineRule="exact"/>
        <w:ind w:left="106" w:right="0"/>
        <w:jc w:val="left"/>
      </w:pPr>
      <w:r>
        <w:br w:type="column"/>
      </w:r>
      <w:r>
        <w:t>中共河南省委</w:t>
      </w:r>
      <w:r>
        <w:tab/>
      </w:r>
      <w:r>
        <w:t>河南省人民政府</w:t>
      </w:r>
    </w:p>
    <w:p>
      <w:pPr>
        <w:spacing w:after="0" w:line="709" w:lineRule="exact"/>
        <w:jc w:val="left"/>
        <w:sectPr>
          <w:footerReference r:id="rId5" w:type="default"/>
          <w:footerReference r:id="rId6" w:type="even"/>
          <w:type w:val="continuous"/>
          <w:pgSz w:w="11910" w:h="16840"/>
          <w:pgMar w:top="1580" w:right="1140" w:bottom="1160" w:left="1480" w:header="720" w:footer="720" w:gutter="0"/>
          <w:cols w:equalWidth="0" w:num="2">
            <w:col w:w="1026" w:space="426"/>
            <w:col w:w="7838"/>
          </w:cols>
        </w:sectPr>
      </w:pPr>
    </w:p>
    <w:p>
      <w:pPr>
        <w:spacing w:before="0" w:line="552" w:lineRule="exact"/>
        <w:ind w:left="2" w:right="8" w:firstLine="0"/>
        <w:jc w:val="center"/>
        <w:rPr>
          <w:rFonts w:hint="eastAsia" w:ascii="方正小标宋_GBK" w:eastAsia="方正小标宋_GBK"/>
          <w:sz w:val="44"/>
        </w:rPr>
      </w:pPr>
      <w:r>
        <w:rPr>
          <w:rFonts w:hint="eastAsia" w:ascii="方正小标宋_GBK" w:eastAsia="方正小标宋_GBK"/>
          <w:sz w:val="44"/>
        </w:rPr>
        <w:t>关于印发《深化新时代教育评价改革实施方案》</w:t>
      </w:r>
    </w:p>
    <w:p>
      <w:pPr>
        <w:spacing w:before="0" w:line="680" w:lineRule="exact"/>
        <w:ind w:left="2" w:right="227" w:firstLine="0"/>
        <w:jc w:val="center"/>
        <w:rPr>
          <w:rFonts w:hint="eastAsia" w:ascii="方正小标宋_GBK" w:eastAsia="方正小标宋_GBK"/>
          <w:sz w:val="44"/>
        </w:rPr>
      </w:pPr>
      <w:r>
        <w:rPr>
          <w:rFonts w:hint="eastAsia" w:ascii="方正小标宋_GBK" w:eastAsia="方正小标宋_GBK"/>
          <w:sz w:val="44"/>
        </w:rPr>
        <w:t>的通知</w:t>
      </w:r>
    </w:p>
    <w:p>
      <w:pPr>
        <w:pStyle w:val="3"/>
        <w:spacing w:before="6"/>
        <w:ind w:left="6188"/>
      </w:pPr>
      <w:r>
        <w:t>豫发〔2022〕13 号</w:t>
      </w:r>
    </w:p>
    <w:p>
      <w:pPr>
        <w:pStyle w:val="3"/>
      </w:pPr>
    </w:p>
    <w:p>
      <w:pPr>
        <w:pStyle w:val="3"/>
        <w:spacing w:before="6"/>
        <w:rPr>
          <w:sz w:val="26"/>
        </w:rPr>
      </w:pPr>
    </w:p>
    <w:p>
      <w:pPr>
        <w:pStyle w:val="3"/>
        <w:spacing w:line="340" w:lineRule="auto"/>
        <w:ind w:left="106" w:right="174" w:firstLine="640"/>
      </w:pPr>
      <w:r>
        <w:rPr>
          <w:spacing w:val="-8"/>
        </w:rPr>
        <w:t>各省辖市党委和人民政府，济源示范区、航空港区党工委和</w:t>
      </w:r>
      <w:r>
        <w:rPr>
          <w:spacing w:val="-19"/>
        </w:rPr>
        <w:t xml:space="preserve">管委会，省委各部委，省直机关各单位，省管各企业和高等院校， </w:t>
      </w:r>
      <w:r>
        <w:t>各人民团体:</w:t>
      </w:r>
    </w:p>
    <w:p>
      <w:pPr>
        <w:pStyle w:val="3"/>
        <w:spacing w:line="340" w:lineRule="auto"/>
        <w:ind w:left="106" w:right="333" w:firstLine="640"/>
      </w:pPr>
      <w:r>
        <w:rPr>
          <w:spacing w:val="-10"/>
          <w:w w:val="95"/>
        </w:rPr>
        <w:t xml:space="preserve">现将《深化新时代教育评价改革实施方案》印发给你们，请 </w:t>
      </w:r>
      <w:r>
        <w:rPr>
          <w:spacing w:val="-10"/>
        </w:rPr>
        <w:t>结合实际认真贯彻落实。</w:t>
      </w:r>
    </w:p>
    <w:p>
      <w:pPr>
        <w:pStyle w:val="3"/>
      </w:pPr>
    </w:p>
    <w:p>
      <w:pPr>
        <w:pStyle w:val="3"/>
      </w:pPr>
    </w:p>
    <w:p>
      <w:pPr>
        <w:pStyle w:val="3"/>
        <w:spacing w:before="9"/>
        <w:rPr>
          <w:sz w:val="25"/>
        </w:rPr>
      </w:pPr>
    </w:p>
    <w:p>
      <w:pPr>
        <w:pStyle w:val="3"/>
        <w:spacing w:before="1" w:line="340" w:lineRule="auto"/>
        <w:ind w:left="4267" w:right="1658" w:hanging="960"/>
      </w:pPr>
      <w:r>
        <w:rPr>
          <w:spacing w:val="-2"/>
        </w:rPr>
        <w:t>中共河南省委 河南省人民政府</w:t>
      </w:r>
      <w:r>
        <w:t>2022</w:t>
      </w:r>
      <w:r>
        <w:rPr>
          <w:spacing w:val="-55"/>
        </w:rPr>
        <w:t xml:space="preserve"> 年 </w:t>
      </w:r>
      <w:r>
        <w:t>5</w:t>
      </w:r>
      <w:r>
        <w:rPr>
          <w:spacing w:val="-54"/>
        </w:rPr>
        <w:t xml:space="preserve"> 月 </w:t>
      </w:r>
      <w:r>
        <w:t>6</w:t>
      </w:r>
      <w:r>
        <w:rPr>
          <w:spacing w:val="-40"/>
        </w:rPr>
        <w:t xml:space="preserve"> 日</w:t>
      </w:r>
    </w:p>
    <w:p>
      <w:pPr>
        <w:pStyle w:val="3"/>
      </w:pPr>
    </w:p>
    <w:p>
      <w:pPr>
        <w:pStyle w:val="3"/>
      </w:pPr>
    </w:p>
    <w:p>
      <w:pPr>
        <w:pStyle w:val="3"/>
      </w:pPr>
    </w:p>
    <w:p>
      <w:pPr>
        <w:pStyle w:val="3"/>
      </w:pPr>
    </w:p>
    <w:p>
      <w:pPr>
        <w:pStyle w:val="3"/>
      </w:pPr>
    </w:p>
    <w:p>
      <w:pPr>
        <w:pStyle w:val="3"/>
        <w:spacing w:before="265"/>
        <w:ind w:left="747"/>
        <w:rPr>
          <w:rFonts w:hint="eastAsia" w:ascii="仿宋" w:eastAsia="仿宋"/>
        </w:rPr>
      </w:pPr>
      <w:r>
        <w:rPr>
          <w:rFonts w:hint="eastAsia" w:ascii="仿宋" w:eastAsia="仿宋"/>
        </w:rPr>
        <w:t>(此件公开发布)</w:t>
      </w:r>
    </w:p>
    <w:p>
      <w:pPr>
        <w:spacing w:after="0"/>
        <w:rPr>
          <w:rFonts w:hint="eastAsia" w:ascii="仿宋" w:eastAsia="仿宋"/>
        </w:rPr>
        <w:sectPr>
          <w:type w:val="continuous"/>
          <w:pgSz w:w="11910" w:h="16840"/>
          <w:pgMar w:top="1580" w:right="1140" w:bottom="1160" w:left="1480" w:header="720" w:footer="720" w:gutter="0"/>
          <w:cols w:space="720" w:num="1"/>
        </w:sectPr>
      </w:pPr>
    </w:p>
    <w:p>
      <w:pPr>
        <w:pStyle w:val="3"/>
        <w:rPr>
          <w:rFonts w:ascii="仿宋"/>
          <w:sz w:val="20"/>
        </w:rPr>
      </w:pPr>
    </w:p>
    <w:p>
      <w:pPr>
        <w:pStyle w:val="3"/>
        <w:spacing w:before="6"/>
        <w:rPr>
          <w:rFonts w:ascii="仿宋"/>
          <w:sz w:val="16"/>
        </w:rPr>
      </w:pPr>
    </w:p>
    <w:p>
      <w:pPr>
        <w:pStyle w:val="2"/>
        <w:spacing w:line="751" w:lineRule="exact"/>
      </w:pPr>
      <w:r>
        <w:t>深化新时代教育评价改革实施方案</w:t>
      </w:r>
    </w:p>
    <w:p>
      <w:pPr>
        <w:pStyle w:val="3"/>
        <w:spacing w:before="3"/>
        <w:rPr>
          <w:rFonts w:ascii="方正小标宋_GBK"/>
          <w:sz w:val="33"/>
        </w:rPr>
      </w:pPr>
    </w:p>
    <w:p>
      <w:pPr>
        <w:pStyle w:val="3"/>
        <w:spacing w:line="338" w:lineRule="auto"/>
        <w:ind w:left="106" w:right="297" w:firstLine="640"/>
        <w:jc w:val="both"/>
      </w:pPr>
      <w:r>
        <w:rPr>
          <w:spacing w:val="-5"/>
        </w:rPr>
        <w:t>为深入贯彻落实习近平总书记关于教育强国的重要论述，加快推进教育强省建设，根据《中共中央、国务院关于印发&lt;深化新时代教育评价改革总体方案&gt;的通知》（中发〔2020〕19</w:t>
      </w:r>
      <w:r>
        <w:rPr>
          <w:spacing w:val="-45"/>
        </w:rPr>
        <w:t xml:space="preserve"> 号</w:t>
      </w:r>
      <w:r>
        <w:t>） 精神，结合我省实际，制定本实施方案。</w:t>
      </w:r>
    </w:p>
    <w:p>
      <w:pPr>
        <w:pStyle w:val="3"/>
        <w:spacing w:before="6"/>
        <w:ind w:left="747"/>
        <w:rPr>
          <w:rFonts w:hint="eastAsia" w:ascii="黑体" w:eastAsia="黑体"/>
        </w:rPr>
      </w:pPr>
      <w:r>
        <w:rPr>
          <w:rFonts w:hint="eastAsia" w:ascii="黑体" w:eastAsia="黑体"/>
        </w:rPr>
        <w:t>一、总体要求</w:t>
      </w:r>
    </w:p>
    <w:p>
      <w:pPr>
        <w:pStyle w:val="3"/>
        <w:spacing w:before="171" w:line="338" w:lineRule="auto"/>
        <w:ind w:left="106" w:right="331" w:firstLine="640"/>
        <w:jc w:val="both"/>
      </w:pPr>
      <w:r>
        <w:rPr>
          <w:spacing w:val="-6"/>
        </w:rPr>
        <w:t>以习近平新时代中国特色社会主义思想为指导，深入贯彻党</w:t>
      </w:r>
      <w:r>
        <w:rPr>
          <w:spacing w:val="-12"/>
        </w:rPr>
        <w:t>的十九大和十九届历次全会精神，落实立德树人根本任务，坚决</w:t>
      </w:r>
      <w:r>
        <w:rPr>
          <w:spacing w:val="-14"/>
        </w:rPr>
        <w:t xml:space="preserve">破除唯分数、唯升学、唯文凭、唯论文、唯帽子的顽瘴痼疾，提高教育治理能力和水平，加快推进教育现代化。经过 </w:t>
      </w:r>
      <w:r>
        <w:t>5</w:t>
      </w:r>
      <w:r>
        <w:rPr>
          <w:spacing w:val="-49"/>
        </w:rPr>
        <w:t xml:space="preserve"> 至 </w:t>
      </w:r>
      <w:r>
        <w:t>10</w:t>
      </w:r>
      <w:r>
        <w:rPr>
          <w:spacing w:val="-38"/>
        </w:rPr>
        <w:t xml:space="preserve"> 年</w:t>
      </w:r>
      <w:r>
        <w:rPr>
          <w:spacing w:val="-17"/>
        </w:rPr>
        <w:t>的努力，各级党委和政府科学履行教育职责的能力和水平明显提</w:t>
      </w:r>
      <w:r>
        <w:rPr>
          <w:spacing w:val="-11"/>
        </w:rPr>
        <w:t>高，各级各类学校立德树人根本任务落实机制更加完善，引导教</w:t>
      </w:r>
      <w:r>
        <w:rPr>
          <w:spacing w:val="-16"/>
        </w:rPr>
        <w:t>师潜心育人的评价制度更加健全，促进学生全面发展的评价办法</w:t>
      </w:r>
      <w:r>
        <w:rPr>
          <w:spacing w:val="-13"/>
        </w:rPr>
        <w:t xml:space="preserve">更加多元，社会选人用人方式更加科学。到 </w:t>
      </w:r>
      <w:r>
        <w:t>2035</w:t>
      </w:r>
      <w:r>
        <w:rPr>
          <w:spacing w:val="-12"/>
        </w:rPr>
        <w:t xml:space="preserve"> 年，基本形成富有时代特征、具有河南特色的高水平教育评价体系。</w:t>
      </w:r>
    </w:p>
    <w:p>
      <w:pPr>
        <w:pStyle w:val="3"/>
        <w:spacing w:before="17"/>
        <w:ind w:left="747"/>
        <w:rPr>
          <w:rFonts w:hint="eastAsia" w:ascii="黑体" w:eastAsia="黑体"/>
        </w:rPr>
      </w:pPr>
      <w:r>
        <w:rPr>
          <w:rFonts w:hint="eastAsia" w:ascii="黑体" w:eastAsia="黑体"/>
        </w:rPr>
        <w:t>二、重点任务</w:t>
      </w:r>
    </w:p>
    <w:p>
      <w:pPr>
        <w:pStyle w:val="3"/>
        <w:spacing w:before="171"/>
        <w:ind w:left="747"/>
        <w:rPr>
          <w:rFonts w:hint="eastAsia" w:ascii="楷体_GB2312" w:eastAsia="楷体_GB2312"/>
        </w:rPr>
      </w:pPr>
      <w:r>
        <w:rPr>
          <w:rFonts w:hint="eastAsia" w:ascii="楷体_GB2312" w:eastAsia="楷体_GB2312"/>
        </w:rPr>
        <w:t>（一）深化党委和政府教育工作评价改革</w:t>
      </w:r>
    </w:p>
    <w:p>
      <w:pPr>
        <w:pStyle w:val="7"/>
        <w:numPr>
          <w:ilvl w:val="0"/>
          <w:numId w:val="1"/>
        </w:numPr>
        <w:tabs>
          <w:tab w:val="left" w:pos="1069"/>
        </w:tabs>
        <w:spacing w:before="168" w:after="0" w:line="340" w:lineRule="auto"/>
        <w:ind w:left="106" w:right="218" w:firstLine="640"/>
        <w:jc w:val="left"/>
        <w:rPr>
          <w:sz w:val="32"/>
        </w:rPr>
      </w:pPr>
      <w:r>
        <w:rPr>
          <w:w w:val="95"/>
          <w:sz w:val="32"/>
        </w:rPr>
        <w:t xml:space="preserve">加强党对教育工作的全面领导。建立健全党委统一领导、 </w:t>
      </w:r>
      <w:r>
        <w:rPr>
          <w:spacing w:val="-11"/>
          <w:sz w:val="32"/>
        </w:rPr>
        <w:t>党政齐抓共管、部门各负其责的教育领导体制。完善各级党委教</w:t>
      </w:r>
      <w:r>
        <w:rPr>
          <w:spacing w:val="-17"/>
          <w:sz w:val="32"/>
        </w:rPr>
        <w:t>育工作领导小组及其办事机构运行机制，形成党对教育工作纵到</w:t>
      </w:r>
    </w:p>
    <w:p>
      <w:pPr>
        <w:spacing w:after="0" w:line="340" w:lineRule="auto"/>
        <w:jc w:val="left"/>
        <w:rPr>
          <w:sz w:val="32"/>
        </w:rPr>
        <w:sectPr>
          <w:pgSz w:w="11910" w:h="16840"/>
          <w:pgMar w:top="1580" w:right="1140" w:bottom="1160" w:left="1480" w:header="0" w:footer="971" w:gutter="0"/>
          <w:cols w:space="720" w:num="1"/>
        </w:sectPr>
      </w:pPr>
    </w:p>
    <w:p>
      <w:pPr>
        <w:pStyle w:val="3"/>
        <w:rPr>
          <w:sz w:val="20"/>
        </w:rPr>
      </w:pPr>
    </w:p>
    <w:p>
      <w:pPr>
        <w:pStyle w:val="3"/>
        <w:rPr>
          <w:sz w:val="26"/>
        </w:rPr>
      </w:pPr>
    </w:p>
    <w:p>
      <w:pPr>
        <w:pStyle w:val="3"/>
        <w:spacing w:before="54" w:line="338" w:lineRule="auto"/>
        <w:ind w:left="106" w:right="331"/>
        <w:jc w:val="both"/>
      </w:pPr>
      <w:r>
        <w:rPr>
          <w:spacing w:val="-11"/>
        </w:rPr>
        <w:t>底、横到边、全覆盖的领导格局。建立市县党委和政府定期研究</w:t>
      </w:r>
      <w:r>
        <w:rPr>
          <w:spacing w:val="-14"/>
        </w:rPr>
        <w:t>教育工作机制，党政主要负责同志要定期深入教育一线调研、联</w:t>
      </w:r>
      <w:r>
        <w:rPr>
          <w:spacing w:val="-18"/>
        </w:rPr>
        <w:t xml:space="preserve">系学校，年终述职必述教育工作，每学期至少为师生上 </w:t>
      </w:r>
      <w:r>
        <w:t>1</w:t>
      </w:r>
      <w:r>
        <w:rPr>
          <w:spacing w:val="-21"/>
        </w:rPr>
        <w:t xml:space="preserve"> 次思政课。</w:t>
      </w:r>
    </w:p>
    <w:p>
      <w:pPr>
        <w:pStyle w:val="7"/>
        <w:numPr>
          <w:ilvl w:val="0"/>
          <w:numId w:val="1"/>
        </w:numPr>
        <w:tabs>
          <w:tab w:val="left" w:pos="1069"/>
        </w:tabs>
        <w:spacing w:before="9" w:after="0" w:line="340" w:lineRule="auto"/>
        <w:ind w:left="106" w:right="331" w:firstLine="640"/>
        <w:jc w:val="both"/>
        <w:rPr>
          <w:sz w:val="32"/>
        </w:rPr>
      </w:pPr>
      <w:r>
        <w:rPr>
          <w:spacing w:val="-9"/>
          <w:w w:val="95"/>
          <w:sz w:val="32"/>
        </w:rPr>
        <w:t xml:space="preserve">完善政府履行教育职责评价。全面推进对市县政府履行教 </w:t>
      </w:r>
      <w:r>
        <w:rPr>
          <w:spacing w:val="-14"/>
          <w:sz w:val="32"/>
        </w:rPr>
        <w:t>育职责的评价，建立健全政府教育履责清单，主要评价全面贯彻</w:t>
      </w:r>
      <w:r>
        <w:rPr>
          <w:spacing w:val="-15"/>
          <w:sz w:val="32"/>
        </w:rPr>
        <w:t>党的教育方针、落实教育优先发展战略、确保教育投入、解决人</w:t>
      </w:r>
      <w:r>
        <w:rPr>
          <w:spacing w:val="-18"/>
          <w:w w:val="95"/>
          <w:sz w:val="32"/>
        </w:rPr>
        <w:t xml:space="preserve">民群众普遍关心的教育突出问题、全面落实“双减”政策、推进 </w:t>
      </w:r>
      <w:r>
        <w:rPr>
          <w:spacing w:val="-18"/>
          <w:sz w:val="32"/>
        </w:rPr>
        <w:t>教育强省建设等工作。</w:t>
      </w:r>
    </w:p>
    <w:p>
      <w:pPr>
        <w:pStyle w:val="7"/>
        <w:numPr>
          <w:ilvl w:val="0"/>
          <w:numId w:val="1"/>
        </w:numPr>
        <w:tabs>
          <w:tab w:val="left" w:pos="1069"/>
        </w:tabs>
        <w:spacing w:before="0" w:after="0" w:line="338" w:lineRule="auto"/>
        <w:ind w:left="106" w:right="331" w:firstLine="640"/>
        <w:jc w:val="both"/>
        <w:rPr>
          <w:sz w:val="32"/>
        </w:rPr>
      </w:pPr>
      <w:r>
        <w:rPr>
          <w:spacing w:val="-8"/>
          <w:w w:val="95"/>
          <w:sz w:val="32"/>
        </w:rPr>
        <w:t xml:space="preserve">坚决纠正片面追求升学率倾向。坚持正确的政绩观，不得 </w:t>
      </w:r>
      <w:r>
        <w:rPr>
          <w:spacing w:val="-13"/>
          <w:sz w:val="32"/>
        </w:rPr>
        <w:t>下达升学指标或以中高考升学率考核下一级党委和政府、教育部</w:t>
      </w:r>
      <w:r>
        <w:rPr>
          <w:spacing w:val="-11"/>
          <w:sz w:val="32"/>
        </w:rPr>
        <w:t>门、学校和教师，不得将升学率与学校工程项目、经费分配、评</w:t>
      </w:r>
      <w:r>
        <w:rPr>
          <w:spacing w:val="-14"/>
          <w:sz w:val="32"/>
        </w:rPr>
        <w:t>优评先等挂钩，不得通过任何形式以中高考成绩为标准奖励教师</w:t>
      </w:r>
      <w:r>
        <w:rPr>
          <w:spacing w:val="-14"/>
          <w:w w:val="95"/>
          <w:sz w:val="32"/>
        </w:rPr>
        <w:t xml:space="preserve">和学生，严禁公布、宣传、炒作中高考“状元”、高分考生和升 </w:t>
      </w:r>
      <w:r>
        <w:rPr>
          <w:spacing w:val="-13"/>
          <w:sz w:val="32"/>
        </w:rPr>
        <w:t>学率。建立纪检监察、组织人事、教育、宣传、审计等多方参与</w:t>
      </w:r>
      <w:r>
        <w:rPr>
          <w:spacing w:val="-14"/>
          <w:sz w:val="32"/>
        </w:rPr>
        <w:t>的联动机制，对教育生态问题突出、造成严重社会影响的，依规依纪依法问责追责。</w:t>
      </w:r>
    </w:p>
    <w:p>
      <w:pPr>
        <w:pStyle w:val="3"/>
        <w:spacing w:before="5"/>
        <w:ind w:left="747"/>
        <w:rPr>
          <w:rFonts w:hint="eastAsia" w:ascii="楷体_GB2312" w:eastAsia="楷体_GB2312"/>
        </w:rPr>
      </w:pPr>
      <w:r>
        <w:rPr>
          <w:rFonts w:hint="eastAsia" w:ascii="楷体_GB2312" w:eastAsia="楷体_GB2312"/>
        </w:rPr>
        <w:t>（二）深化学校评价改革</w:t>
      </w:r>
    </w:p>
    <w:p>
      <w:pPr>
        <w:pStyle w:val="7"/>
        <w:numPr>
          <w:ilvl w:val="0"/>
          <w:numId w:val="2"/>
        </w:numPr>
        <w:tabs>
          <w:tab w:val="left" w:pos="1069"/>
        </w:tabs>
        <w:spacing w:before="168" w:after="0" w:line="340" w:lineRule="auto"/>
        <w:ind w:left="106" w:right="333" w:firstLine="640"/>
        <w:jc w:val="left"/>
        <w:rPr>
          <w:sz w:val="32"/>
        </w:rPr>
      </w:pPr>
      <w:r>
        <w:rPr>
          <w:sz w:val="32"/>
        </w:rPr>
        <w:t>提升立德树人成效。加强和改进学校党建和思想政治工</w:t>
      </w:r>
      <w:r>
        <w:rPr>
          <w:spacing w:val="-11"/>
          <w:sz w:val="32"/>
        </w:rPr>
        <w:t>作，统筹推进大中小学一体化思想政治工作体系建设，完善各类学校党建带团建队建机制，深入实施青年马克思主义者培养工</w:t>
      </w:r>
    </w:p>
    <w:p>
      <w:pPr>
        <w:spacing w:after="0" w:line="340" w:lineRule="auto"/>
        <w:jc w:val="left"/>
        <w:rPr>
          <w:sz w:val="32"/>
        </w:rPr>
        <w:sectPr>
          <w:pgSz w:w="11910" w:h="16840"/>
          <w:pgMar w:top="1580" w:right="1140" w:bottom="1160" w:left="1480" w:header="0" w:footer="971" w:gutter="0"/>
          <w:cols w:space="720" w:num="1"/>
        </w:sectPr>
      </w:pPr>
    </w:p>
    <w:p>
      <w:pPr>
        <w:pStyle w:val="3"/>
        <w:rPr>
          <w:sz w:val="20"/>
        </w:rPr>
      </w:pPr>
    </w:p>
    <w:p>
      <w:pPr>
        <w:pStyle w:val="3"/>
        <w:rPr>
          <w:sz w:val="26"/>
        </w:rPr>
      </w:pPr>
    </w:p>
    <w:p>
      <w:pPr>
        <w:pStyle w:val="3"/>
        <w:spacing w:before="54" w:line="340" w:lineRule="auto"/>
        <w:ind w:left="106" w:right="218"/>
      </w:pPr>
      <w:r>
        <w:rPr>
          <w:spacing w:val="-12"/>
        </w:rPr>
        <w:t>程，按规定积极开展文明校园、平安校园、依法治校示范校创建活动。坚决克服重智育轻德育、重分数轻素质等片面办学行为， 促进学生身心健康、全面发展。</w:t>
      </w:r>
    </w:p>
    <w:p>
      <w:pPr>
        <w:pStyle w:val="7"/>
        <w:numPr>
          <w:ilvl w:val="0"/>
          <w:numId w:val="2"/>
        </w:numPr>
        <w:tabs>
          <w:tab w:val="left" w:pos="1069"/>
        </w:tabs>
        <w:spacing w:before="0" w:after="0" w:line="338" w:lineRule="auto"/>
        <w:ind w:left="106" w:right="174" w:firstLine="640"/>
        <w:jc w:val="left"/>
        <w:rPr>
          <w:sz w:val="32"/>
        </w:rPr>
      </w:pPr>
      <w:r>
        <w:rPr>
          <w:spacing w:val="-11"/>
          <w:sz w:val="32"/>
        </w:rPr>
        <w:t>完善幼儿园评价。科学制定幼儿园质量评估标准，开展质</w:t>
      </w:r>
      <w:r>
        <w:rPr>
          <w:spacing w:val="-19"/>
          <w:sz w:val="32"/>
        </w:rPr>
        <w:t xml:space="preserve">量评估，重点评价科学保教、队伍建设、克服小学化倾向等工作， </w:t>
      </w:r>
      <w:r>
        <w:rPr>
          <w:sz w:val="32"/>
        </w:rPr>
        <w:t>评估结果定期向社会公布。切实做好省级示范性幼儿园认定工 作，充分发挥示范引领作用。</w:t>
      </w:r>
    </w:p>
    <w:p>
      <w:pPr>
        <w:pStyle w:val="7"/>
        <w:numPr>
          <w:ilvl w:val="0"/>
          <w:numId w:val="2"/>
        </w:numPr>
        <w:tabs>
          <w:tab w:val="left" w:pos="1069"/>
        </w:tabs>
        <w:spacing w:before="2" w:after="0" w:line="338" w:lineRule="auto"/>
        <w:ind w:left="106" w:right="174" w:firstLine="640"/>
        <w:jc w:val="left"/>
        <w:rPr>
          <w:sz w:val="32"/>
        </w:rPr>
      </w:pPr>
      <w:r>
        <w:rPr>
          <w:spacing w:val="-11"/>
          <w:sz w:val="32"/>
        </w:rPr>
        <w:t>改进中小学校评价。制定义务教育学校办学质量评价实施</w:t>
      </w:r>
      <w:r>
        <w:rPr>
          <w:spacing w:val="-21"/>
          <w:sz w:val="32"/>
        </w:rPr>
        <w:t>方案，重点评价学校办学方向、课程教学、教师发展、学校管理、学生发展以及学业负担、社会满意度等情况。建立健全省、市、</w:t>
      </w:r>
      <w:r>
        <w:rPr>
          <w:spacing w:val="-16"/>
          <w:sz w:val="32"/>
        </w:rPr>
        <w:t>县三级联动，以县为主的义务教育质量监测制度。完善普通高中</w:t>
      </w:r>
      <w:r>
        <w:rPr>
          <w:spacing w:val="-22"/>
          <w:w w:val="95"/>
          <w:sz w:val="32"/>
        </w:rPr>
        <w:t xml:space="preserve">办学质量评价体系，突出实施学生综合素质评价、优化教学管理、 </w:t>
      </w:r>
      <w:r>
        <w:rPr>
          <w:spacing w:val="-18"/>
          <w:sz w:val="32"/>
        </w:rPr>
        <w:t>有序推进选课走班、规范招生办学行为等内容。完善高中学分认定方法、标准、程序和学业评价，推动普通高中多样化发展。</w:t>
      </w:r>
    </w:p>
    <w:p>
      <w:pPr>
        <w:pStyle w:val="7"/>
        <w:numPr>
          <w:ilvl w:val="0"/>
          <w:numId w:val="2"/>
        </w:numPr>
        <w:tabs>
          <w:tab w:val="left" w:pos="1069"/>
        </w:tabs>
        <w:spacing w:before="14" w:after="0" w:line="338" w:lineRule="auto"/>
        <w:ind w:left="106" w:right="174" w:firstLine="640"/>
        <w:jc w:val="left"/>
        <w:rPr>
          <w:sz w:val="32"/>
        </w:rPr>
      </w:pPr>
      <w:r>
        <w:rPr>
          <w:sz w:val="32"/>
        </w:rPr>
        <w:t xml:space="preserve">健全职业学校评价。制定职业学校（含技工院校，下同） </w:t>
      </w:r>
      <w:r>
        <w:rPr>
          <w:spacing w:val="-9"/>
          <w:sz w:val="32"/>
        </w:rPr>
        <w:t>评价标准与办法，重点评价职业学校德技并修、产教融合、育训</w:t>
      </w:r>
      <w:r>
        <w:rPr>
          <w:spacing w:val="-13"/>
          <w:sz w:val="32"/>
        </w:rPr>
        <w:t>结合、毕业生就业质量、“双师型”教师队伍建设等情况，高质</w:t>
      </w:r>
      <w:r>
        <w:rPr>
          <w:spacing w:val="-18"/>
          <w:sz w:val="32"/>
        </w:rPr>
        <w:t>量推进“人人持证、技能河南”建设，持续开展教学诊断与改进、</w:t>
      </w:r>
      <w:r>
        <w:rPr>
          <w:spacing w:val="-10"/>
          <w:sz w:val="32"/>
        </w:rPr>
        <w:t>教学质量评价，探索建立河南特色职业教育竞赛制度。加强“双</w:t>
      </w:r>
      <w:r>
        <w:rPr>
          <w:spacing w:val="-12"/>
          <w:sz w:val="32"/>
        </w:rPr>
        <w:t>高”建设绩效评价。深化职普融通，完善与职业教育发展相适应的学位授予标准和评价机制。</w:t>
      </w:r>
    </w:p>
    <w:p>
      <w:pPr>
        <w:spacing w:after="0" w:line="338" w:lineRule="auto"/>
        <w:jc w:val="left"/>
        <w:rPr>
          <w:sz w:val="32"/>
        </w:rPr>
        <w:sectPr>
          <w:pgSz w:w="11910" w:h="16840"/>
          <w:pgMar w:top="1580" w:right="1140" w:bottom="1160" w:left="1480" w:header="0" w:footer="971" w:gutter="0"/>
          <w:cols w:space="720" w:num="1"/>
        </w:sectPr>
      </w:pPr>
    </w:p>
    <w:p>
      <w:pPr>
        <w:pStyle w:val="3"/>
        <w:rPr>
          <w:sz w:val="20"/>
        </w:rPr>
      </w:pPr>
    </w:p>
    <w:p>
      <w:pPr>
        <w:pStyle w:val="3"/>
        <w:rPr>
          <w:sz w:val="26"/>
        </w:rPr>
      </w:pPr>
    </w:p>
    <w:p>
      <w:pPr>
        <w:pStyle w:val="7"/>
        <w:numPr>
          <w:ilvl w:val="0"/>
          <w:numId w:val="2"/>
        </w:numPr>
        <w:tabs>
          <w:tab w:val="left" w:pos="1069"/>
        </w:tabs>
        <w:spacing w:before="54" w:after="0" w:line="338" w:lineRule="auto"/>
        <w:ind w:left="106" w:right="174" w:firstLine="640"/>
        <w:jc w:val="left"/>
        <w:rPr>
          <w:sz w:val="32"/>
        </w:rPr>
      </w:pPr>
      <w:r>
        <w:rPr>
          <w:spacing w:val="-10"/>
          <w:sz w:val="32"/>
        </w:rPr>
        <w:t>优化高等学校评价。推进高校分类发展，建立不同类型高</w:t>
      </w:r>
      <w:r>
        <w:rPr>
          <w:spacing w:val="-14"/>
          <w:sz w:val="32"/>
        </w:rPr>
        <w:t xml:space="preserve">校评价体系。实施学科建设培优行动，探索建立有利于重点领域急需学科专业建设和学科深度交叉融合发展的人员流动评价机 </w:t>
      </w:r>
      <w:r>
        <w:rPr>
          <w:spacing w:val="-13"/>
          <w:sz w:val="32"/>
        </w:rPr>
        <w:t>制。建立“双一流”建设、“双一流”创建期中期满绩效评价和</w:t>
      </w:r>
      <w:r>
        <w:rPr>
          <w:spacing w:val="-16"/>
          <w:sz w:val="32"/>
        </w:rPr>
        <w:t>动态跟踪评价机制，推动郑州大学、河南大学在“双一流”建设</w:t>
      </w:r>
      <w:r>
        <w:rPr>
          <w:spacing w:val="-23"/>
          <w:sz w:val="32"/>
        </w:rPr>
        <w:t xml:space="preserve">中晋位升级，新增 </w:t>
      </w:r>
      <w:r>
        <w:rPr>
          <w:sz w:val="32"/>
        </w:rPr>
        <w:t>2-3</w:t>
      </w:r>
      <w:r>
        <w:rPr>
          <w:spacing w:val="-14"/>
          <w:sz w:val="32"/>
        </w:rPr>
        <w:t xml:space="preserve"> 个学校、若干学科进入国家“双一流”建</w:t>
      </w:r>
      <w:r>
        <w:rPr>
          <w:spacing w:val="-13"/>
          <w:sz w:val="32"/>
        </w:rPr>
        <w:t>设行列。创新特色骨干大学建设质量监测与评价机制，强化过程</w:t>
      </w:r>
      <w:r>
        <w:rPr>
          <w:spacing w:val="-15"/>
          <w:sz w:val="32"/>
        </w:rPr>
        <w:t>管理和绩效监控，坚持资源存量与成长增量评价相结合，引导鼓</w:t>
      </w:r>
      <w:r>
        <w:rPr>
          <w:spacing w:val="-16"/>
          <w:sz w:val="32"/>
        </w:rPr>
        <w:t>励高校提升内涵、办出特色。完善师范院校评价标准，开展师范</w:t>
      </w:r>
      <w:r>
        <w:rPr>
          <w:spacing w:val="-15"/>
          <w:sz w:val="32"/>
        </w:rPr>
        <w:t>专业认证工作，将培养合格教师作为主要考核指标。完善应用技</w:t>
      </w:r>
      <w:r>
        <w:rPr>
          <w:spacing w:val="-16"/>
          <w:sz w:val="32"/>
        </w:rPr>
        <w:t>术型本科建设标准，突出专业能力和实践应用能力培养。改进本</w:t>
      </w:r>
      <w:r>
        <w:rPr>
          <w:spacing w:val="-17"/>
          <w:sz w:val="32"/>
        </w:rPr>
        <w:t>科教育教学评估，强化思想政治教育、生师比、教授为本科生上</w:t>
      </w:r>
      <w:r>
        <w:rPr>
          <w:spacing w:val="-18"/>
          <w:sz w:val="32"/>
        </w:rPr>
        <w:t>课、生均课程门数、法治意识教育、毕业生发展等硬性指标约束。</w:t>
      </w:r>
      <w:r>
        <w:rPr>
          <w:spacing w:val="-5"/>
          <w:sz w:val="32"/>
        </w:rPr>
        <w:t>建立完善学士学位授权与授予质量评估制度和抽检机制。改进学</w:t>
      </w:r>
      <w:r>
        <w:rPr>
          <w:spacing w:val="-11"/>
          <w:sz w:val="32"/>
        </w:rPr>
        <w:t>科评估，强化人才培养中心地位，淡化论文收录数、引用率、奖</w:t>
      </w:r>
      <w:r>
        <w:rPr>
          <w:spacing w:val="-15"/>
          <w:sz w:val="32"/>
        </w:rPr>
        <w:t>项数等数量指标，突出学科特色、质量和贡献，纠正片面以学术</w:t>
      </w:r>
      <w:r>
        <w:rPr>
          <w:spacing w:val="-17"/>
          <w:sz w:val="32"/>
        </w:rPr>
        <w:t>头衔评价学术水平的做法，教师成果严格按署名单位认定、不随人走。改进高校经费使用绩效评价，引导高校加大对教育教学、</w:t>
      </w:r>
      <w:r>
        <w:rPr>
          <w:spacing w:val="-15"/>
          <w:sz w:val="32"/>
        </w:rPr>
        <w:t>基础研究、就业创业和科技创新的支持力度。完善高校国际交流合作评价，实施教育对外开放质量提升工程。</w:t>
      </w:r>
    </w:p>
    <w:p>
      <w:pPr>
        <w:pStyle w:val="3"/>
        <w:spacing w:before="40"/>
        <w:ind w:left="747"/>
        <w:rPr>
          <w:rFonts w:hint="eastAsia" w:ascii="楷体_GB2312" w:eastAsia="楷体_GB2312"/>
        </w:rPr>
      </w:pPr>
      <w:r>
        <w:rPr>
          <w:rFonts w:hint="eastAsia" w:ascii="楷体_GB2312" w:eastAsia="楷体_GB2312"/>
        </w:rPr>
        <w:t>（三）深化教师评价改革</w:t>
      </w:r>
    </w:p>
    <w:p>
      <w:pPr>
        <w:spacing w:after="0"/>
        <w:rPr>
          <w:rFonts w:hint="eastAsia" w:ascii="楷体_GB2312" w:eastAsia="楷体_GB2312"/>
        </w:rPr>
        <w:sectPr>
          <w:footerReference r:id="rId7" w:type="default"/>
          <w:footerReference r:id="rId8" w:type="even"/>
          <w:pgSz w:w="11910" w:h="16840"/>
          <w:pgMar w:top="1580" w:right="1140" w:bottom="1160" w:left="1480" w:header="0" w:footer="971" w:gutter="0"/>
          <w:pgNumType w:start="10"/>
          <w:cols w:space="720" w:num="1"/>
        </w:sectPr>
      </w:pPr>
    </w:p>
    <w:p>
      <w:pPr>
        <w:pStyle w:val="3"/>
        <w:rPr>
          <w:rFonts w:ascii="楷体_GB2312"/>
          <w:sz w:val="20"/>
        </w:rPr>
      </w:pPr>
    </w:p>
    <w:p>
      <w:pPr>
        <w:pStyle w:val="3"/>
        <w:rPr>
          <w:rFonts w:ascii="楷体_GB2312"/>
          <w:sz w:val="26"/>
        </w:rPr>
      </w:pPr>
    </w:p>
    <w:p>
      <w:pPr>
        <w:pStyle w:val="7"/>
        <w:numPr>
          <w:ilvl w:val="0"/>
          <w:numId w:val="3"/>
        </w:numPr>
        <w:tabs>
          <w:tab w:val="left" w:pos="1069"/>
        </w:tabs>
        <w:spacing w:before="54" w:after="0" w:line="340" w:lineRule="auto"/>
        <w:ind w:left="106" w:right="174" w:firstLine="640"/>
        <w:jc w:val="left"/>
        <w:rPr>
          <w:sz w:val="32"/>
        </w:rPr>
      </w:pPr>
      <w:r>
        <w:rPr>
          <w:spacing w:val="-11"/>
          <w:sz w:val="32"/>
        </w:rPr>
        <w:t>突出师德师风第一标准。把师德表现作为教师资格定期注</w:t>
      </w:r>
      <w:r>
        <w:rPr>
          <w:spacing w:val="-12"/>
          <w:sz w:val="32"/>
        </w:rPr>
        <w:t>册、业绩考核、职称评聘、评优奖励的首要要求。按国家和省有</w:t>
      </w:r>
      <w:r>
        <w:rPr>
          <w:spacing w:val="-16"/>
          <w:sz w:val="32"/>
        </w:rPr>
        <w:t>关规定开展师德标兵、师德先进个人、河南最美教师、教书育人</w:t>
      </w:r>
      <w:r>
        <w:rPr>
          <w:spacing w:val="-25"/>
          <w:w w:val="95"/>
          <w:sz w:val="32"/>
        </w:rPr>
        <w:t xml:space="preserve">楷模等教师表彰和选树宣传活动，推动师德建设常态化、长效化。 </w:t>
      </w:r>
      <w:r>
        <w:rPr>
          <w:spacing w:val="-25"/>
          <w:sz w:val="32"/>
        </w:rPr>
        <w:t>落实教师违反师德行为处理办法等有关规定，开通教师违反职业道德行为投诉管理平台，严肃查处师德违规行为。</w:t>
      </w:r>
    </w:p>
    <w:p>
      <w:pPr>
        <w:pStyle w:val="7"/>
        <w:numPr>
          <w:ilvl w:val="0"/>
          <w:numId w:val="3"/>
        </w:numPr>
        <w:tabs>
          <w:tab w:val="left" w:pos="1069"/>
        </w:tabs>
        <w:spacing w:before="0" w:after="0" w:line="397" w:lineRule="exact"/>
        <w:ind w:left="1068" w:right="0" w:hanging="322"/>
        <w:jc w:val="left"/>
        <w:rPr>
          <w:sz w:val="32"/>
        </w:rPr>
      </w:pPr>
      <w:r>
        <w:rPr>
          <w:spacing w:val="-10"/>
          <w:sz w:val="32"/>
        </w:rPr>
        <w:t>突出教育教学实绩。优化教师评价考核体系，提高教育教</w:t>
      </w:r>
    </w:p>
    <w:p>
      <w:pPr>
        <w:pStyle w:val="3"/>
        <w:spacing w:before="171" w:line="338" w:lineRule="auto"/>
        <w:ind w:left="106" w:right="218"/>
      </w:pPr>
      <w:r>
        <w:rPr>
          <w:spacing w:val="-9"/>
        </w:rPr>
        <w:t>学实绩在职务晋升、职称评聘、岗位聘任、绩效分配、评优评先中的比重。完善幼儿园教师培养培训考核标准，突出保教实践、</w:t>
      </w:r>
      <w:r>
        <w:rPr>
          <w:spacing w:val="-15"/>
        </w:rPr>
        <w:t xml:space="preserve">游戏教学和全面发展能力培养。改进中小学教师收入分配激励机制，有效体现工作量和工作绩效，绩效工资分配向班主任倾斜， </w:t>
      </w:r>
      <w:r>
        <w:rPr>
          <w:spacing w:val="-20"/>
        </w:rPr>
        <w:t>向教学一线和教育教学效果突出的教师倾斜，向参与课后服务和</w:t>
      </w:r>
      <w:r>
        <w:rPr>
          <w:spacing w:val="-19"/>
        </w:rPr>
        <w:t>托管服务的教师倾斜。健全职业学校“双师型”“一体化”教师</w:t>
      </w:r>
      <w:r>
        <w:rPr>
          <w:spacing w:val="-14"/>
        </w:rPr>
        <w:t>认定、聘用、考核等评价标准，突出实践技能水平和专业教学能</w:t>
      </w:r>
      <w:r>
        <w:rPr>
          <w:spacing w:val="-9"/>
        </w:rPr>
        <w:t>力。规范高校教师聘用和职称评聘条件设置，不得将国</w:t>
      </w:r>
      <w:r>
        <w:t>（境</w:t>
      </w:r>
      <w:r>
        <w:rPr>
          <w:spacing w:val="-29"/>
        </w:rPr>
        <w:t>）</w:t>
      </w:r>
      <w:r>
        <w:t>外</w:t>
      </w:r>
      <w:r>
        <w:rPr>
          <w:spacing w:val="-7"/>
        </w:rPr>
        <w:t>学习经历作为限制性条件。完善高校教师教学工作实绩评价，将</w:t>
      </w:r>
      <w:r>
        <w:rPr>
          <w:spacing w:val="-13"/>
        </w:rPr>
        <w:t>教师参与教研活动，开展学业辅导，编写教材、案例，指导学生</w:t>
      </w:r>
      <w:r>
        <w:rPr>
          <w:spacing w:val="-12"/>
        </w:rPr>
        <w:t>活动、就业、创新创业、社会实践等纳入考核评价范畴。落实教</w:t>
      </w:r>
      <w:r>
        <w:rPr>
          <w:spacing w:val="-14"/>
        </w:rPr>
        <w:t>授全员上课制度，高校应明确教授为本</w:t>
      </w:r>
      <w:r>
        <w:t>（专</w:t>
      </w:r>
      <w:r>
        <w:rPr>
          <w:spacing w:val="-36"/>
        </w:rPr>
        <w:t>）</w:t>
      </w:r>
      <w:r>
        <w:t>科生授课最低课时</w:t>
      </w:r>
      <w:r>
        <w:rPr>
          <w:spacing w:val="-10"/>
        </w:rPr>
        <w:t>要求，对未达到要求的给予年度或聘期考核不合格处理。鼓励高校学报向教学研究倾斜，打造优质教学研究类学术期刊集群。</w:t>
      </w:r>
    </w:p>
    <w:p>
      <w:pPr>
        <w:spacing w:after="0" w:line="338" w:lineRule="auto"/>
        <w:sectPr>
          <w:pgSz w:w="11910" w:h="16840"/>
          <w:pgMar w:top="1580" w:right="1140" w:bottom="1160" w:left="1480" w:header="0" w:footer="971" w:gutter="0"/>
          <w:cols w:space="720" w:num="1"/>
        </w:sectPr>
      </w:pPr>
    </w:p>
    <w:p>
      <w:pPr>
        <w:pStyle w:val="3"/>
        <w:rPr>
          <w:sz w:val="20"/>
        </w:rPr>
      </w:pPr>
    </w:p>
    <w:p>
      <w:pPr>
        <w:pStyle w:val="3"/>
        <w:rPr>
          <w:sz w:val="26"/>
        </w:rPr>
      </w:pPr>
    </w:p>
    <w:p>
      <w:pPr>
        <w:pStyle w:val="7"/>
        <w:numPr>
          <w:ilvl w:val="0"/>
          <w:numId w:val="3"/>
        </w:numPr>
        <w:tabs>
          <w:tab w:val="left" w:pos="1069"/>
        </w:tabs>
        <w:spacing w:before="54" w:after="0" w:line="338" w:lineRule="auto"/>
        <w:ind w:left="106" w:right="333" w:firstLine="640"/>
        <w:jc w:val="both"/>
        <w:rPr>
          <w:sz w:val="32"/>
        </w:rPr>
      </w:pPr>
      <w:r>
        <w:rPr>
          <w:spacing w:val="-11"/>
          <w:w w:val="95"/>
          <w:sz w:val="32"/>
        </w:rPr>
        <w:t xml:space="preserve">强化一线学生工作。建立各级各类学校领导干部和教师参 </w:t>
      </w:r>
      <w:r>
        <w:rPr>
          <w:spacing w:val="-16"/>
          <w:sz w:val="32"/>
        </w:rPr>
        <w:t>与学生工作的评价机制。强化家校合作，将家校联系情况纳入中</w:t>
      </w:r>
      <w:r>
        <w:rPr>
          <w:spacing w:val="-16"/>
          <w:w w:val="95"/>
          <w:sz w:val="32"/>
        </w:rPr>
        <w:t xml:space="preserve">小学教师考核内容。高校党委书记、校长每学期至少给学生讲授  </w:t>
      </w:r>
      <w:r>
        <w:rPr>
          <w:spacing w:val="-16"/>
          <w:sz w:val="32"/>
        </w:rPr>
        <w:t>4</w:t>
      </w:r>
      <w:r>
        <w:rPr>
          <w:spacing w:val="-12"/>
          <w:sz w:val="32"/>
        </w:rPr>
        <w:t xml:space="preserve"> 个课时思政课，高校领导班子其他成员每学期至少给学生讲授</w:t>
      </w:r>
    </w:p>
    <w:p>
      <w:pPr>
        <w:pStyle w:val="3"/>
        <w:spacing w:before="9" w:line="338" w:lineRule="auto"/>
        <w:ind w:left="106" w:right="331"/>
        <w:jc w:val="both"/>
      </w:pPr>
      <w:r>
        <w:t>2</w:t>
      </w:r>
      <w:r>
        <w:rPr>
          <w:spacing w:val="-12"/>
        </w:rPr>
        <w:t xml:space="preserve"> 个课时思政课。完善学校党政管理干部选拔任用机制，原则上</w:t>
      </w:r>
      <w:r>
        <w:rPr>
          <w:spacing w:val="-14"/>
        </w:rPr>
        <w:t>应有思政课教师、辅导员或班主任等学生工作经历。高校青年教</w:t>
      </w:r>
      <w:r>
        <w:rPr>
          <w:spacing w:val="-17"/>
        </w:rPr>
        <w:t>师晋升高一级职称，至少须有一年担任辅导员、班主任等学生工作经历。</w:t>
      </w:r>
    </w:p>
    <w:p>
      <w:pPr>
        <w:pStyle w:val="7"/>
        <w:numPr>
          <w:ilvl w:val="0"/>
          <w:numId w:val="3"/>
        </w:numPr>
        <w:tabs>
          <w:tab w:val="left" w:pos="1069"/>
        </w:tabs>
        <w:spacing w:before="8" w:after="0" w:line="338" w:lineRule="auto"/>
        <w:ind w:left="106" w:right="174" w:firstLine="640"/>
        <w:jc w:val="left"/>
        <w:rPr>
          <w:sz w:val="32"/>
        </w:rPr>
      </w:pPr>
      <w:r>
        <w:rPr>
          <w:spacing w:val="-11"/>
          <w:sz w:val="32"/>
        </w:rPr>
        <w:t>改进高校教师科研评价。建立以学术质量和社会效益为导</w:t>
      </w:r>
      <w:r>
        <w:rPr>
          <w:spacing w:val="-16"/>
          <w:sz w:val="32"/>
        </w:rPr>
        <w:t>向的科研评价机制和以诚信为前提的科研管理机制，不得将论文</w:t>
      </w:r>
      <w:r>
        <w:rPr>
          <w:spacing w:val="-13"/>
          <w:sz w:val="32"/>
        </w:rPr>
        <w:t>收录数、引用率和影响因子等指标与资源分配、物质奖励、绩效</w:t>
      </w:r>
      <w:r>
        <w:rPr>
          <w:spacing w:val="-14"/>
          <w:sz w:val="32"/>
        </w:rPr>
        <w:t>工资等挂钩。坚持分类评价，推行代表性成果评价，将解决行业</w:t>
      </w:r>
      <w:r>
        <w:rPr>
          <w:spacing w:val="-19"/>
          <w:sz w:val="32"/>
        </w:rPr>
        <w:t>企业“卡脖子”关键核心技术和共性技术、解决企业的实际问题、</w:t>
      </w:r>
      <w:r>
        <w:rPr>
          <w:spacing w:val="-11"/>
          <w:sz w:val="32"/>
        </w:rPr>
        <w:t>优秀网络文化成果、在主要媒体发表的理论文章和决策咨询报告</w:t>
      </w:r>
      <w:r>
        <w:rPr>
          <w:spacing w:val="-22"/>
          <w:w w:val="95"/>
          <w:sz w:val="32"/>
        </w:rPr>
        <w:t xml:space="preserve">等纳入科研评价体系。对取得重大理论创新成果、前沿技术突破、 </w:t>
      </w:r>
      <w:r>
        <w:rPr>
          <w:spacing w:val="-20"/>
          <w:sz w:val="32"/>
        </w:rPr>
        <w:t>解决重大工程技术难题、作出重大贡献的教师，申报高级职称时论文可不作限制性要求。</w:t>
      </w:r>
    </w:p>
    <w:p>
      <w:pPr>
        <w:pStyle w:val="7"/>
        <w:numPr>
          <w:ilvl w:val="0"/>
          <w:numId w:val="3"/>
        </w:numPr>
        <w:tabs>
          <w:tab w:val="left" w:pos="1069"/>
        </w:tabs>
        <w:spacing w:before="17" w:after="0" w:line="338" w:lineRule="auto"/>
        <w:ind w:left="106" w:right="218" w:firstLine="640"/>
        <w:jc w:val="left"/>
        <w:rPr>
          <w:sz w:val="32"/>
        </w:rPr>
      </w:pPr>
      <w:r>
        <w:rPr>
          <w:w w:val="95"/>
          <w:sz w:val="32"/>
        </w:rPr>
        <w:t xml:space="preserve">规范各类人才称号。优化整合涉教育领域各类人才计划， </w:t>
      </w:r>
      <w:r>
        <w:rPr>
          <w:spacing w:val="-7"/>
          <w:sz w:val="32"/>
        </w:rPr>
        <w:t>不得将人才称号作为承担科研项目、职称评聘、评优评奖、学位点申报的限制性条件，有关申报书不得设置填写人才称号栏目。</w:t>
      </w:r>
    </w:p>
    <w:p>
      <w:pPr>
        <w:spacing w:after="0" w:line="338" w:lineRule="auto"/>
        <w:jc w:val="left"/>
        <w:rPr>
          <w:sz w:val="32"/>
        </w:rPr>
        <w:sectPr>
          <w:pgSz w:w="11910" w:h="16840"/>
          <w:pgMar w:top="1580" w:right="1140" w:bottom="1160" w:left="1480" w:header="0" w:footer="971" w:gutter="0"/>
          <w:cols w:space="720" w:num="1"/>
        </w:sectPr>
      </w:pPr>
    </w:p>
    <w:p>
      <w:pPr>
        <w:pStyle w:val="3"/>
        <w:rPr>
          <w:sz w:val="20"/>
        </w:rPr>
      </w:pPr>
    </w:p>
    <w:p>
      <w:pPr>
        <w:pStyle w:val="3"/>
        <w:rPr>
          <w:sz w:val="26"/>
        </w:rPr>
      </w:pPr>
    </w:p>
    <w:p>
      <w:pPr>
        <w:pStyle w:val="3"/>
        <w:spacing w:before="54" w:line="340" w:lineRule="auto"/>
        <w:ind w:left="106" w:right="333"/>
      </w:pPr>
      <w:r>
        <w:rPr>
          <w:spacing w:val="-7"/>
        </w:rPr>
        <w:t>建立健全体现实际贡献的收入分配制度，不得将人才称号与物质利益简单挂钩。</w:t>
      </w:r>
    </w:p>
    <w:p>
      <w:pPr>
        <w:pStyle w:val="3"/>
        <w:spacing w:line="407" w:lineRule="exact"/>
        <w:ind w:left="747"/>
        <w:rPr>
          <w:rFonts w:hint="eastAsia" w:ascii="楷体_GB2312" w:eastAsia="楷体_GB2312"/>
        </w:rPr>
      </w:pPr>
      <w:r>
        <w:rPr>
          <w:rFonts w:hint="eastAsia" w:ascii="楷体_GB2312" w:eastAsia="楷体_GB2312"/>
        </w:rPr>
        <w:t>（四）深化学生评价改革</w:t>
      </w:r>
    </w:p>
    <w:p>
      <w:pPr>
        <w:pStyle w:val="7"/>
        <w:numPr>
          <w:ilvl w:val="0"/>
          <w:numId w:val="4"/>
        </w:numPr>
        <w:tabs>
          <w:tab w:val="left" w:pos="1069"/>
        </w:tabs>
        <w:spacing w:before="169" w:after="0" w:line="340" w:lineRule="auto"/>
        <w:ind w:left="106" w:right="174" w:firstLine="640"/>
        <w:jc w:val="left"/>
        <w:rPr>
          <w:sz w:val="32"/>
        </w:rPr>
      </w:pPr>
      <w:r>
        <w:rPr>
          <w:spacing w:val="-20"/>
          <w:w w:val="95"/>
          <w:sz w:val="32"/>
        </w:rPr>
        <w:t xml:space="preserve">树立科学成才观念。坚持以德为先、能力为重、全面发展， </w:t>
      </w:r>
      <w:r>
        <w:rPr>
          <w:spacing w:val="-14"/>
          <w:sz w:val="32"/>
        </w:rPr>
        <w:t>坚决摒弃“唯分数论”、以成绩贴标签等行为，创新德智体美劳过程性评价办法，完善综合素质评价体系。</w:t>
      </w:r>
    </w:p>
    <w:p>
      <w:pPr>
        <w:pStyle w:val="7"/>
        <w:numPr>
          <w:ilvl w:val="0"/>
          <w:numId w:val="4"/>
        </w:numPr>
        <w:tabs>
          <w:tab w:val="left" w:pos="1069"/>
        </w:tabs>
        <w:spacing w:before="0" w:after="0" w:line="338" w:lineRule="auto"/>
        <w:ind w:left="106" w:right="218" w:firstLine="640"/>
        <w:jc w:val="left"/>
        <w:rPr>
          <w:sz w:val="32"/>
        </w:rPr>
      </w:pPr>
      <w:r>
        <w:rPr>
          <w:spacing w:val="-11"/>
          <w:sz w:val="32"/>
        </w:rPr>
        <w:t xml:space="preserve">完善德育评价。科学设计德育目标，用好焦裕禄精神、红旗渠精神、大别山精神等红色资源，引导青少年传承红色基因， </w:t>
      </w:r>
      <w:r>
        <w:rPr>
          <w:spacing w:val="-12"/>
          <w:sz w:val="32"/>
        </w:rPr>
        <w:t>增强“四个自信”。将学生品行日常表现作为学生综合素质评价的重要内容。将大学生志愿服务情况计入社会实践学分。</w:t>
      </w:r>
    </w:p>
    <w:p>
      <w:pPr>
        <w:pStyle w:val="7"/>
        <w:numPr>
          <w:ilvl w:val="0"/>
          <w:numId w:val="4"/>
        </w:numPr>
        <w:tabs>
          <w:tab w:val="left" w:pos="1069"/>
        </w:tabs>
        <w:spacing w:before="1" w:after="0" w:line="340" w:lineRule="auto"/>
        <w:ind w:left="106" w:right="331" w:firstLine="640"/>
        <w:jc w:val="both"/>
        <w:rPr>
          <w:sz w:val="32"/>
        </w:rPr>
      </w:pPr>
      <w:r>
        <w:rPr>
          <w:spacing w:val="-12"/>
          <w:w w:val="95"/>
          <w:sz w:val="32"/>
        </w:rPr>
        <w:t xml:space="preserve">强化体育评价。建立日常参与、体质监测和专项运动技能 </w:t>
      </w:r>
      <w:r>
        <w:rPr>
          <w:spacing w:val="-16"/>
          <w:w w:val="95"/>
          <w:sz w:val="32"/>
        </w:rPr>
        <w:t xml:space="preserve">测试相结合的考查机制，打造“一校一品”“一校多品”校园体 </w:t>
      </w:r>
      <w:r>
        <w:rPr>
          <w:spacing w:val="-14"/>
          <w:sz w:val="32"/>
        </w:rPr>
        <w:t>育模式。将每天两个大课间和达到国家学生体质健康标准的落实</w:t>
      </w:r>
      <w:r>
        <w:rPr>
          <w:spacing w:val="-18"/>
          <w:sz w:val="32"/>
        </w:rPr>
        <w:t>情况作为学校体育考核的重要内容。将体育纳入高等教育人才培养方案，将修满体育学分作为毕业条件。</w:t>
      </w:r>
    </w:p>
    <w:p>
      <w:pPr>
        <w:pStyle w:val="7"/>
        <w:numPr>
          <w:ilvl w:val="0"/>
          <w:numId w:val="4"/>
        </w:numPr>
        <w:tabs>
          <w:tab w:val="left" w:pos="1069"/>
        </w:tabs>
        <w:spacing w:before="0" w:after="0" w:line="340" w:lineRule="auto"/>
        <w:ind w:left="106" w:right="331" w:firstLine="640"/>
        <w:jc w:val="both"/>
        <w:rPr>
          <w:sz w:val="32"/>
        </w:rPr>
      </w:pPr>
      <w:r>
        <w:rPr>
          <w:spacing w:val="-11"/>
          <w:w w:val="95"/>
          <w:sz w:val="32"/>
        </w:rPr>
        <w:t xml:space="preserve">改进美育评价。建立艺术素质测评、中招艺术考试和学业 </w:t>
      </w:r>
      <w:r>
        <w:rPr>
          <w:spacing w:val="-16"/>
          <w:sz w:val="32"/>
        </w:rPr>
        <w:t>水平考试结合的美育评价机制。将中小学生学习艺术类课程、参</w:t>
      </w:r>
      <w:r>
        <w:rPr>
          <w:spacing w:val="-19"/>
          <w:sz w:val="32"/>
        </w:rPr>
        <w:t>与艺术实践活动情况纳入学业要求，逐步将高中阶段美育评价纳入高中学业水平考试范围。持续做好普通高校公共艺术教育评估工作。</w:t>
      </w:r>
    </w:p>
    <w:p>
      <w:pPr>
        <w:spacing w:after="0" w:line="340" w:lineRule="auto"/>
        <w:jc w:val="both"/>
        <w:rPr>
          <w:sz w:val="32"/>
        </w:rPr>
        <w:sectPr>
          <w:pgSz w:w="11910" w:h="16840"/>
          <w:pgMar w:top="1580" w:right="1140" w:bottom="1160" w:left="1480" w:header="0" w:footer="971" w:gutter="0"/>
          <w:cols w:space="720" w:num="1"/>
        </w:sectPr>
      </w:pPr>
    </w:p>
    <w:p>
      <w:pPr>
        <w:pStyle w:val="3"/>
        <w:rPr>
          <w:sz w:val="20"/>
        </w:rPr>
      </w:pPr>
    </w:p>
    <w:p>
      <w:pPr>
        <w:pStyle w:val="3"/>
        <w:rPr>
          <w:sz w:val="26"/>
        </w:rPr>
      </w:pPr>
    </w:p>
    <w:p>
      <w:pPr>
        <w:pStyle w:val="7"/>
        <w:numPr>
          <w:ilvl w:val="0"/>
          <w:numId w:val="4"/>
        </w:numPr>
        <w:tabs>
          <w:tab w:val="left" w:pos="1069"/>
        </w:tabs>
        <w:spacing w:before="54" w:after="0" w:line="340" w:lineRule="auto"/>
        <w:ind w:left="106" w:right="331" w:firstLine="640"/>
        <w:jc w:val="both"/>
        <w:rPr>
          <w:sz w:val="32"/>
        </w:rPr>
      </w:pPr>
      <w:r>
        <w:rPr>
          <w:spacing w:val="-10"/>
          <w:w w:val="95"/>
          <w:sz w:val="32"/>
        </w:rPr>
        <w:t xml:space="preserve">加强劳动教育评价。建立劳动教育清单制度，明确家务劳 </w:t>
      </w:r>
      <w:r>
        <w:rPr>
          <w:spacing w:val="-13"/>
          <w:sz w:val="32"/>
        </w:rPr>
        <w:t>动、校内外劳动时间和要求，重点要求小学中高年级学生每年有</w:t>
      </w:r>
      <w:r>
        <w:rPr>
          <w:spacing w:val="-23"/>
          <w:sz w:val="32"/>
        </w:rPr>
        <w:t xml:space="preserve">针对性地学会 </w:t>
      </w:r>
      <w:r>
        <w:rPr>
          <w:sz w:val="32"/>
        </w:rPr>
        <w:t>1</w:t>
      </w:r>
      <w:r>
        <w:rPr>
          <w:spacing w:val="-56"/>
          <w:sz w:val="32"/>
        </w:rPr>
        <w:t xml:space="preserve"> 至 </w:t>
      </w:r>
      <w:r>
        <w:rPr>
          <w:sz w:val="32"/>
        </w:rPr>
        <w:t>2</w:t>
      </w:r>
      <w:r>
        <w:rPr>
          <w:spacing w:val="-15"/>
          <w:sz w:val="32"/>
        </w:rPr>
        <w:t xml:space="preserve"> 项生活技能，将劳动素养纳入学生综合素质</w:t>
      </w:r>
      <w:r>
        <w:rPr>
          <w:spacing w:val="-14"/>
          <w:w w:val="95"/>
          <w:sz w:val="32"/>
        </w:rPr>
        <w:t xml:space="preserve">评价体系。以劳动教育“四个一批”工程为引领，将劳动教育开 </w:t>
      </w:r>
      <w:r>
        <w:rPr>
          <w:spacing w:val="-14"/>
          <w:sz w:val="32"/>
        </w:rPr>
        <w:t>展情况纳入文明校园创建测评体系。</w:t>
      </w:r>
    </w:p>
    <w:p>
      <w:pPr>
        <w:pStyle w:val="7"/>
        <w:numPr>
          <w:ilvl w:val="0"/>
          <w:numId w:val="4"/>
        </w:numPr>
        <w:tabs>
          <w:tab w:val="left" w:pos="1069"/>
        </w:tabs>
        <w:spacing w:before="0" w:after="0" w:line="338" w:lineRule="auto"/>
        <w:ind w:left="106" w:right="331" w:firstLine="640"/>
        <w:jc w:val="both"/>
        <w:rPr>
          <w:sz w:val="32"/>
        </w:rPr>
      </w:pPr>
      <w:r>
        <w:rPr>
          <w:spacing w:val="-11"/>
          <w:sz w:val="32"/>
        </w:rPr>
        <w:t>严格学业标准。完善学生学业要求，严把出口关。探索建</w:t>
      </w:r>
      <w:r>
        <w:rPr>
          <w:spacing w:val="-16"/>
          <w:sz w:val="32"/>
        </w:rPr>
        <w:t>立中等职业教育学生学业水平测试制度。完善高校毕业论文</w:t>
      </w:r>
      <w:r>
        <w:rPr>
          <w:sz w:val="32"/>
        </w:rPr>
        <w:t>（毕业设计</w:t>
      </w:r>
      <w:r>
        <w:rPr>
          <w:spacing w:val="-39"/>
          <w:sz w:val="32"/>
        </w:rPr>
        <w:t>）</w:t>
      </w:r>
      <w:r>
        <w:rPr>
          <w:spacing w:val="-8"/>
          <w:sz w:val="32"/>
        </w:rPr>
        <w:t>管理制度，严肃查处各类学术不端行为。实施教育质量</w:t>
      </w:r>
      <w:r>
        <w:rPr>
          <w:spacing w:val="-13"/>
          <w:sz w:val="32"/>
        </w:rPr>
        <w:t>保障行动，完善研究生中期考核和年度考核制度。进一步完善学</w:t>
      </w:r>
      <w:r>
        <w:rPr>
          <w:spacing w:val="-16"/>
          <w:sz w:val="32"/>
        </w:rPr>
        <w:t>位论文抽检制度，加大抽检力度，强化抽检结果分析、反馈和使</w:t>
      </w:r>
      <w:r>
        <w:rPr>
          <w:spacing w:val="-12"/>
          <w:sz w:val="32"/>
        </w:rPr>
        <w:t>用。加大学业过程考核比重，坚决取消“清考”制度。推进校外实训基地建设，确保学生足额、真实参加实习实训。</w:t>
      </w:r>
    </w:p>
    <w:p>
      <w:pPr>
        <w:pStyle w:val="7"/>
        <w:numPr>
          <w:ilvl w:val="0"/>
          <w:numId w:val="4"/>
        </w:numPr>
        <w:tabs>
          <w:tab w:val="left" w:pos="1069"/>
        </w:tabs>
        <w:spacing w:before="2" w:after="0" w:line="340" w:lineRule="auto"/>
        <w:ind w:left="106" w:right="174" w:firstLine="640"/>
        <w:jc w:val="left"/>
        <w:rPr>
          <w:sz w:val="32"/>
        </w:rPr>
      </w:pPr>
      <w:r>
        <w:rPr>
          <w:spacing w:val="-11"/>
          <w:sz w:val="32"/>
        </w:rPr>
        <w:t>深化考试招生制度改革。推进学生综合素质评价结果与中</w:t>
      </w:r>
      <w:r>
        <w:rPr>
          <w:spacing w:val="-15"/>
          <w:sz w:val="32"/>
        </w:rPr>
        <w:t>高考录取相结合，逐步转变简单以考试成绩为唯一标准的招生模</w:t>
      </w:r>
      <w:r>
        <w:rPr>
          <w:spacing w:val="-12"/>
          <w:sz w:val="32"/>
        </w:rPr>
        <w:t>式。落实公办民办义务教育学校同步招生政策。改进中考体育测</w:t>
      </w:r>
      <w:r>
        <w:rPr>
          <w:spacing w:val="-14"/>
          <w:sz w:val="32"/>
        </w:rPr>
        <w:t>试内容、方式和计分办法，科学确定并逐步提高分值。扩大全省</w:t>
      </w:r>
      <w:r>
        <w:rPr>
          <w:spacing w:val="-22"/>
          <w:sz w:val="32"/>
        </w:rPr>
        <w:t>中招艺术考试试点范围。稳步推进高考改革，逐步形成分类考试、综合评价、多元录取的考试招生模式。建立“职教高考”制度， 完善“文化素质+职业技能”的考试招生办法。实施研究生招考</w:t>
      </w:r>
      <w:r>
        <w:rPr>
          <w:spacing w:val="-16"/>
          <w:sz w:val="32"/>
        </w:rPr>
        <w:t>模式改革，加强科研创新能力和实践能力考查。进一步规范各级各类学校招生行为，严禁通过设置奖金等方式违规争抢生源。探</w:t>
      </w:r>
    </w:p>
    <w:p>
      <w:pPr>
        <w:spacing w:after="0" w:line="340" w:lineRule="auto"/>
        <w:jc w:val="left"/>
        <w:rPr>
          <w:sz w:val="32"/>
        </w:rPr>
        <w:sectPr>
          <w:pgSz w:w="11910" w:h="16840"/>
          <w:pgMar w:top="1580" w:right="1140" w:bottom="1160" w:left="1480" w:header="0" w:footer="971" w:gutter="0"/>
          <w:cols w:space="720" w:num="1"/>
        </w:sectPr>
      </w:pPr>
    </w:p>
    <w:p>
      <w:pPr>
        <w:pStyle w:val="3"/>
        <w:rPr>
          <w:sz w:val="20"/>
        </w:rPr>
      </w:pPr>
    </w:p>
    <w:p>
      <w:pPr>
        <w:pStyle w:val="3"/>
        <w:rPr>
          <w:sz w:val="26"/>
        </w:rPr>
      </w:pPr>
    </w:p>
    <w:p>
      <w:pPr>
        <w:pStyle w:val="3"/>
        <w:spacing w:before="54" w:line="340" w:lineRule="auto"/>
        <w:ind w:left="106" w:right="331"/>
      </w:pPr>
      <w:r>
        <w:rPr>
          <w:spacing w:val="-8"/>
        </w:rPr>
        <w:t>索建立学分银行制度，推动不同类型教育学习成果认定、积累和转换，畅通终身学习和人才成长渠道。</w:t>
      </w:r>
    </w:p>
    <w:p>
      <w:pPr>
        <w:pStyle w:val="3"/>
        <w:spacing w:line="407" w:lineRule="exact"/>
        <w:ind w:left="747"/>
        <w:rPr>
          <w:rFonts w:hint="eastAsia" w:ascii="楷体_GB2312" w:eastAsia="楷体_GB2312"/>
        </w:rPr>
      </w:pPr>
      <w:r>
        <w:rPr>
          <w:rFonts w:hint="eastAsia" w:ascii="楷体_GB2312" w:eastAsia="楷体_GB2312"/>
        </w:rPr>
        <w:t>（五）深化用人评价改革</w:t>
      </w:r>
    </w:p>
    <w:p>
      <w:pPr>
        <w:pStyle w:val="7"/>
        <w:numPr>
          <w:ilvl w:val="0"/>
          <w:numId w:val="5"/>
        </w:numPr>
        <w:tabs>
          <w:tab w:val="left" w:pos="1069"/>
        </w:tabs>
        <w:spacing w:before="169" w:after="0" w:line="338" w:lineRule="auto"/>
        <w:ind w:left="106" w:right="174" w:firstLine="640"/>
        <w:jc w:val="left"/>
        <w:rPr>
          <w:sz w:val="32"/>
        </w:rPr>
      </w:pPr>
      <w:r>
        <w:rPr>
          <w:spacing w:val="-9"/>
          <w:sz w:val="32"/>
        </w:rPr>
        <w:t>树立正确选人用人导向。党政机关、事业单位、国有企业</w:t>
      </w:r>
      <w:r>
        <w:rPr>
          <w:spacing w:val="-14"/>
          <w:sz w:val="32"/>
        </w:rPr>
        <w:t>要带头扭转“唯名校”“唯学历”的用人导向，改变人才“高消</w:t>
      </w:r>
      <w:r>
        <w:rPr>
          <w:spacing w:val="-20"/>
          <w:sz w:val="32"/>
        </w:rPr>
        <w:t>费”状况。对引进高层次人才和急需紧缺人才等，可“一人一策” “一事一议”。</w:t>
      </w:r>
    </w:p>
    <w:p>
      <w:pPr>
        <w:pStyle w:val="7"/>
        <w:numPr>
          <w:ilvl w:val="0"/>
          <w:numId w:val="5"/>
        </w:numPr>
        <w:tabs>
          <w:tab w:val="left" w:pos="1069"/>
        </w:tabs>
        <w:spacing w:before="8" w:after="0" w:line="340" w:lineRule="auto"/>
        <w:ind w:left="106" w:right="331" w:firstLine="640"/>
        <w:jc w:val="both"/>
        <w:rPr>
          <w:sz w:val="32"/>
        </w:rPr>
      </w:pPr>
      <w:r>
        <w:rPr>
          <w:spacing w:val="-12"/>
          <w:sz w:val="32"/>
        </w:rPr>
        <w:t>促进人岗相适。完善公务员招录、事业单位和国有企业招</w:t>
      </w:r>
      <w:r>
        <w:rPr>
          <w:spacing w:val="-11"/>
          <w:sz w:val="32"/>
        </w:rPr>
        <w:t>聘管理办法，不得将毕业院校、国</w:t>
      </w:r>
      <w:r>
        <w:rPr>
          <w:sz w:val="32"/>
        </w:rPr>
        <w:t>（境</w:t>
      </w:r>
      <w:r>
        <w:rPr>
          <w:spacing w:val="-22"/>
          <w:sz w:val="32"/>
        </w:rPr>
        <w:t>）</w:t>
      </w:r>
      <w:r>
        <w:rPr>
          <w:spacing w:val="-4"/>
          <w:sz w:val="32"/>
        </w:rPr>
        <w:t>外学习经历、学习方式</w:t>
      </w:r>
      <w:r>
        <w:rPr>
          <w:spacing w:val="-12"/>
          <w:sz w:val="32"/>
        </w:rPr>
        <w:t>作为限制性条件。职业学校毕业生在落户、就业、参加机关企事</w:t>
      </w:r>
      <w:r>
        <w:rPr>
          <w:spacing w:val="-15"/>
          <w:sz w:val="32"/>
        </w:rPr>
        <w:t>业单位招聘、职称评聘、职务职级晋升等方面，与普通学校毕业生同等对待。</w:t>
      </w:r>
    </w:p>
    <w:p>
      <w:pPr>
        <w:pStyle w:val="3"/>
        <w:spacing w:line="398" w:lineRule="exact"/>
        <w:ind w:left="747"/>
        <w:rPr>
          <w:rFonts w:hint="eastAsia" w:ascii="黑体" w:eastAsia="黑体"/>
        </w:rPr>
      </w:pPr>
      <w:r>
        <w:rPr>
          <w:rFonts w:hint="eastAsia" w:ascii="黑体" w:eastAsia="黑体"/>
        </w:rPr>
        <w:t>三、组织实施</w:t>
      </w:r>
    </w:p>
    <w:p>
      <w:pPr>
        <w:pStyle w:val="3"/>
        <w:spacing w:before="171" w:line="338" w:lineRule="auto"/>
        <w:ind w:left="106" w:right="333" w:firstLine="640"/>
        <w:jc w:val="both"/>
      </w:pPr>
      <w:r>
        <w:rPr>
          <w:rFonts w:hint="eastAsia" w:ascii="楷体_GB2312" w:hAnsi="楷体_GB2312" w:eastAsia="楷体_GB2312"/>
        </w:rPr>
        <w:t>（一</w:t>
      </w:r>
      <w:r>
        <w:rPr>
          <w:rFonts w:hint="eastAsia" w:ascii="楷体_GB2312" w:hAnsi="楷体_GB2312" w:eastAsia="楷体_GB2312"/>
          <w:spacing w:val="-39"/>
        </w:rPr>
        <w:t>）</w:t>
      </w:r>
      <w:r>
        <w:rPr>
          <w:rFonts w:hint="eastAsia" w:ascii="楷体_GB2312" w:hAnsi="楷体_GB2312" w:eastAsia="楷体_GB2312"/>
          <w:spacing w:val="-6"/>
        </w:rPr>
        <w:t>落实改革责任。</w:t>
      </w:r>
      <w:r>
        <w:rPr>
          <w:spacing w:val="-3"/>
        </w:rPr>
        <w:t>各级党委和政府要提高政治站位，强</w:t>
      </w:r>
      <w:r>
        <w:rPr>
          <w:spacing w:val="-12"/>
          <w:w w:val="95"/>
        </w:rPr>
        <w:t xml:space="preserve">化责任担当，加强工作统筹，明确落实举措，切实担负起落实教 </w:t>
      </w:r>
      <w:r>
        <w:rPr>
          <w:spacing w:val="-16"/>
        </w:rPr>
        <w:t>育评价改革的领导责任。各级党委教育工作领导小组要加强统筹</w:t>
      </w:r>
      <w:r>
        <w:rPr>
          <w:spacing w:val="-13"/>
        </w:rPr>
        <w:t>协调、宣传引导和督促落实。省直有关部门要凝聚改革共识，及</w:t>
      </w:r>
      <w:r>
        <w:rPr>
          <w:spacing w:val="-15"/>
        </w:rPr>
        <w:t>时制定配套制度。各级教育部门要开展分类分层试点，及时总结</w:t>
      </w:r>
      <w:r>
        <w:rPr>
          <w:spacing w:val="-14"/>
          <w:w w:val="95"/>
        </w:rPr>
        <w:t xml:space="preserve">推广典型经验。各级各类学校要狠抓落实，切实破除“五唯”顽 </w:t>
      </w:r>
      <w:r>
        <w:rPr>
          <w:spacing w:val="-14"/>
        </w:rPr>
        <w:t>瘴痼疾。各级教育督导机构要加强督导，对违反相关规定的予以督促纠正，依法依规对相关责任人员严肃问责。</w:t>
      </w:r>
    </w:p>
    <w:p>
      <w:pPr>
        <w:spacing w:after="0" w:line="338" w:lineRule="auto"/>
        <w:jc w:val="both"/>
        <w:sectPr>
          <w:pgSz w:w="11910" w:h="16840"/>
          <w:pgMar w:top="1580" w:right="1140" w:bottom="1160" w:left="1480" w:header="0" w:footer="971" w:gutter="0"/>
          <w:cols w:space="720" w:num="1"/>
        </w:sectPr>
      </w:pPr>
    </w:p>
    <w:p>
      <w:pPr>
        <w:pStyle w:val="3"/>
        <w:rPr>
          <w:sz w:val="20"/>
        </w:rPr>
      </w:pPr>
    </w:p>
    <w:p>
      <w:pPr>
        <w:pStyle w:val="3"/>
        <w:rPr>
          <w:sz w:val="26"/>
        </w:rPr>
      </w:pPr>
    </w:p>
    <w:p>
      <w:pPr>
        <w:pStyle w:val="3"/>
        <w:spacing w:before="54" w:line="340" w:lineRule="auto"/>
        <w:ind w:left="106" w:right="218" w:firstLine="640"/>
      </w:pPr>
      <w:r>
        <w:rPr>
          <w:rFonts w:hint="eastAsia" w:ascii="楷体_GB2312" w:eastAsia="楷体_GB2312"/>
        </w:rPr>
        <w:t>（二）加强专业化建设。</w:t>
      </w:r>
      <w:r>
        <w:t>支持有条件的高校设立教育评价、</w:t>
      </w:r>
      <w:r>
        <w:rPr>
          <w:spacing w:val="-8"/>
        </w:rPr>
        <w:t>教育测量等相关学科专业，培养教育评价专门人才。加强教育考</w:t>
      </w:r>
      <w:r>
        <w:rPr>
          <w:spacing w:val="-13"/>
        </w:rPr>
        <w:t>试工作队伍建设，完善工作人员选聘、待遇保障等激励机制。建</w:t>
      </w:r>
      <w:r>
        <w:rPr>
          <w:spacing w:val="-17"/>
        </w:rPr>
        <w:t>立健全教育评价类信息系统、数据协同共享机制，构建基于大数据的评价支撑体系。</w:t>
      </w:r>
    </w:p>
    <w:p>
      <w:pPr>
        <w:pStyle w:val="3"/>
        <w:spacing w:line="338" w:lineRule="auto"/>
        <w:ind w:left="106" w:right="218" w:firstLine="640"/>
      </w:pPr>
      <w:r>
        <w:rPr>
          <w:rFonts w:hint="eastAsia" w:ascii="楷体_GB2312" w:eastAsia="楷体_GB2312"/>
        </w:rPr>
        <w:t>（三</w:t>
      </w:r>
      <w:r>
        <w:rPr>
          <w:rFonts w:hint="eastAsia" w:ascii="楷体_GB2312" w:eastAsia="楷体_GB2312"/>
          <w:spacing w:val="-29"/>
        </w:rPr>
        <w:t>）</w:t>
      </w:r>
      <w:r>
        <w:rPr>
          <w:rFonts w:hint="eastAsia" w:ascii="楷体_GB2312" w:eastAsia="楷体_GB2312"/>
          <w:spacing w:val="-5"/>
        </w:rPr>
        <w:t>加强宣传引导。</w:t>
      </w:r>
      <w:r>
        <w:rPr>
          <w:spacing w:val="-8"/>
        </w:rPr>
        <w:t>党政机关、事业单位、国有企业要做</w:t>
      </w:r>
      <w:r>
        <w:rPr>
          <w:spacing w:val="-13"/>
        </w:rPr>
        <w:t>好表率，带动全社会形成正确的选人用人理念。新闻媒体要加大宣传力度，合理引导预期，增进共识。各地要及时总结、宣传、</w:t>
      </w:r>
      <w:r>
        <w:rPr>
          <w:spacing w:val="-18"/>
        </w:rPr>
        <w:t>推广教育评价改革的成功经验和典型案例，扩大辐射面，提高影响力。</w:t>
      </w:r>
    </w:p>
    <w:p>
      <w:pPr>
        <w:spacing w:after="0" w:line="338" w:lineRule="auto"/>
        <w:sectPr>
          <w:pgSz w:w="11910" w:h="16840"/>
          <w:pgMar w:top="1580" w:right="1140" w:bottom="1160" w:left="1480" w:header="0" w:footer="971" w:gutter="0"/>
          <w:cols w:space="720" w:num="1"/>
        </w:sectPr>
      </w:pPr>
    </w:p>
    <w:p>
      <w:pPr>
        <w:pStyle w:val="3"/>
        <w:rPr>
          <w:sz w:val="20"/>
        </w:rPr>
      </w:pPr>
    </w:p>
    <w:p>
      <w:pPr>
        <w:pStyle w:val="3"/>
        <w:rPr>
          <w:sz w:val="26"/>
        </w:rPr>
      </w:pPr>
    </w:p>
    <w:p>
      <w:pPr>
        <w:spacing w:after="0"/>
        <w:rPr>
          <w:sz w:val="26"/>
        </w:rPr>
        <w:sectPr>
          <w:pgSz w:w="11910" w:h="16840"/>
          <w:pgMar w:top="1580" w:right="1140" w:bottom="1160" w:left="1480" w:header="0" w:footer="971" w:gutter="0"/>
          <w:cols w:space="720" w:num="1"/>
        </w:sectPr>
      </w:pPr>
    </w:p>
    <w:p>
      <w:pPr>
        <w:pStyle w:val="3"/>
        <w:spacing w:before="54"/>
        <w:ind w:left="106"/>
        <w:rPr>
          <w:rFonts w:hint="eastAsia" w:ascii="黑体" w:eastAsia="黑体"/>
        </w:rPr>
      </w:pPr>
      <w:r>
        <w:rPr>
          <w:rFonts w:hint="eastAsia" w:ascii="黑体" w:eastAsia="黑体"/>
          <w:spacing w:val="-27"/>
        </w:rPr>
        <w:t xml:space="preserve">附件 </w:t>
      </w:r>
      <w:r>
        <w:rPr>
          <w:rFonts w:hint="eastAsia" w:ascii="黑体" w:eastAsia="黑体"/>
        </w:rPr>
        <w:t>2</w:t>
      </w:r>
    </w:p>
    <w:p>
      <w:pPr>
        <w:pStyle w:val="3"/>
        <w:spacing w:before="8"/>
        <w:rPr>
          <w:rFonts w:ascii="黑体"/>
          <w:sz w:val="43"/>
        </w:rPr>
      </w:pPr>
      <w:r>
        <w:br w:type="column"/>
      </w:r>
    </w:p>
    <w:p>
      <w:pPr>
        <w:pStyle w:val="2"/>
        <w:spacing w:line="180" w:lineRule="auto"/>
        <w:ind w:left="106" w:right="1454"/>
      </w:pPr>
      <w:r>
        <w:rPr>
          <w:spacing w:val="-1"/>
        </w:rPr>
        <w:t>深化新时代教育评价改革实施方案</w:t>
      </w:r>
      <w:r>
        <w:t>负面清单</w:t>
      </w:r>
    </w:p>
    <w:p>
      <w:pPr>
        <w:pStyle w:val="3"/>
        <w:spacing w:before="67"/>
        <w:ind w:left="104" w:right="1454"/>
        <w:jc w:val="center"/>
        <w:rPr>
          <w:rFonts w:hint="eastAsia" w:ascii="仿宋" w:eastAsia="仿宋"/>
        </w:rPr>
      </w:pPr>
      <w:r>
        <w:rPr>
          <w:rFonts w:hint="eastAsia" w:ascii="仿宋" w:eastAsia="仿宋"/>
        </w:rPr>
        <w:t>（</w:t>
      </w:r>
      <w:r>
        <w:rPr>
          <w:rFonts w:hint="eastAsia" w:ascii="仿宋" w:eastAsia="仿宋"/>
          <w:spacing w:val="-41"/>
        </w:rPr>
        <w:t xml:space="preserve">共 </w:t>
      </w:r>
      <w:r>
        <w:rPr>
          <w:rFonts w:hint="eastAsia" w:ascii="仿宋" w:eastAsia="仿宋"/>
        </w:rPr>
        <w:t>27</w:t>
      </w:r>
      <w:r>
        <w:rPr>
          <w:rFonts w:hint="eastAsia" w:ascii="仿宋" w:eastAsia="仿宋"/>
          <w:spacing w:val="-41"/>
        </w:rPr>
        <w:t xml:space="preserve"> 条</w:t>
      </w:r>
      <w:r>
        <w:rPr>
          <w:rFonts w:hint="eastAsia" w:ascii="仿宋" w:eastAsia="仿宋"/>
        </w:rPr>
        <w:t>）</w:t>
      </w:r>
    </w:p>
    <w:p>
      <w:pPr>
        <w:spacing w:after="0"/>
        <w:jc w:val="center"/>
        <w:rPr>
          <w:rFonts w:hint="eastAsia" w:ascii="仿宋" w:eastAsia="仿宋"/>
        </w:rPr>
        <w:sectPr>
          <w:type w:val="continuous"/>
          <w:pgSz w:w="11910" w:h="16840"/>
          <w:pgMar w:top="1580" w:right="1140" w:bottom="1160" w:left="1480" w:header="720" w:footer="720" w:gutter="0"/>
          <w:cols w:equalWidth="0" w:num="2">
            <w:col w:w="1026" w:space="97"/>
            <w:col w:w="8167"/>
          </w:cols>
        </w:sectPr>
      </w:pPr>
    </w:p>
    <w:p>
      <w:pPr>
        <w:pStyle w:val="3"/>
        <w:rPr>
          <w:rFonts w:ascii="仿宋"/>
          <w:sz w:val="20"/>
        </w:rPr>
      </w:pPr>
    </w:p>
    <w:p>
      <w:pPr>
        <w:pStyle w:val="3"/>
        <w:rPr>
          <w:rFonts w:ascii="仿宋"/>
          <w:sz w:val="20"/>
        </w:rPr>
      </w:pPr>
    </w:p>
    <w:p>
      <w:pPr>
        <w:pStyle w:val="3"/>
        <w:spacing w:before="6"/>
        <w:rPr>
          <w:rFonts w:ascii="仿宋"/>
          <w:sz w:val="14"/>
        </w:rPr>
      </w:pPr>
    </w:p>
    <w:p>
      <w:pPr>
        <w:pStyle w:val="3"/>
        <w:spacing w:before="54"/>
        <w:ind w:left="747"/>
        <w:rPr>
          <w:rFonts w:hint="eastAsia" w:ascii="黑体" w:eastAsia="黑体"/>
        </w:rPr>
      </w:pPr>
      <w:r>
        <w:rPr>
          <w:rFonts w:hint="eastAsia" w:ascii="黑体" w:eastAsia="黑体"/>
        </w:rPr>
        <w:t>一、严格禁止类</w:t>
      </w:r>
    </w:p>
    <w:p>
      <w:pPr>
        <w:pStyle w:val="7"/>
        <w:numPr>
          <w:ilvl w:val="0"/>
          <w:numId w:val="6"/>
        </w:numPr>
        <w:tabs>
          <w:tab w:val="left" w:pos="1228"/>
        </w:tabs>
        <w:spacing w:before="168" w:after="0" w:line="340" w:lineRule="auto"/>
        <w:ind w:left="106" w:right="377" w:firstLine="640"/>
        <w:jc w:val="left"/>
        <w:rPr>
          <w:sz w:val="32"/>
        </w:rPr>
      </w:pPr>
      <w:r>
        <w:rPr>
          <w:sz w:val="32"/>
        </w:rPr>
        <w:t>不得下达升学指标或以中高考升学率考核下一级党委和政府、教育部门、学校和教师。</w:t>
      </w:r>
    </w:p>
    <w:p>
      <w:pPr>
        <w:pStyle w:val="7"/>
        <w:numPr>
          <w:ilvl w:val="0"/>
          <w:numId w:val="6"/>
        </w:numPr>
        <w:tabs>
          <w:tab w:val="left" w:pos="1228"/>
        </w:tabs>
        <w:spacing w:before="0" w:after="0" w:line="338" w:lineRule="auto"/>
        <w:ind w:left="106" w:right="377" w:firstLine="640"/>
        <w:jc w:val="left"/>
        <w:rPr>
          <w:sz w:val="32"/>
        </w:rPr>
      </w:pPr>
      <w:r>
        <w:rPr>
          <w:sz w:val="32"/>
        </w:rPr>
        <w:t>不得将升学率与学校工程项目、经费分配、评优评先等挂钩。</w:t>
      </w:r>
    </w:p>
    <w:p>
      <w:pPr>
        <w:pStyle w:val="7"/>
        <w:numPr>
          <w:ilvl w:val="0"/>
          <w:numId w:val="6"/>
        </w:numPr>
        <w:tabs>
          <w:tab w:val="left" w:pos="1228"/>
        </w:tabs>
        <w:spacing w:before="1" w:after="0" w:line="240" w:lineRule="auto"/>
        <w:ind w:left="1228" w:right="0" w:hanging="481"/>
        <w:jc w:val="left"/>
        <w:rPr>
          <w:sz w:val="32"/>
        </w:rPr>
      </w:pPr>
      <w:r>
        <w:rPr>
          <w:sz w:val="32"/>
        </w:rPr>
        <w:t>不得通过任何形式以中高考成绩为标准奖励教师和学生。</w:t>
      </w:r>
    </w:p>
    <w:p>
      <w:pPr>
        <w:pStyle w:val="7"/>
        <w:numPr>
          <w:ilvl w:val="0"/>
          <w:numId w:val="6"/>
        </w:numPr>
        <w:tabs>
          <w:tab w:val="left" w:pos="1228"/>
        </w:tabs>
        <w:spacing w:before="170" w:after="0" w:line="240" w:lineRule="auto"/>
        <w:ind w:left="1228" w:right="0" w:hanging="481"/>
        <w:jc w:val="left"/>
        <w:rPr>
          <w:sz w:val="32"/>
        </w:rPr>
      </w:pPr>
      <w:r>
        <w:rPr>
          <w:sz w:val="32"/>
        </w:rPr>
        <w:t>严禁公布、宣传、炒作中高考“状元”和升学率。</w:t>
      </w:r>
    </w:p>
    <w:p>
      <w:pPr>
        <w:pStyle w:val="7"/>
        <w:numPr>
          <w:ilvl w:val="0"/>
          <w:numId w:val="6"/>
        </w:numPr>
        <w:tabs>
          <w:tab w:val="left" w:pos="1228"/>
        </w:tabs>
        <w:spacing w:before="169" w:after="0" w:line="340" w:lineRule="auto"/>
        <w:ind w:left="106" w:right="174" w:firstLine="640"/>
        <w:jc w:val="left"/>
        <w:rPr>
          <w:sz w:val="32"/>
        </w:rPr>
      </w:pPr>
      <w:r>
        <w:rPr>
          <w:spacing w:val="-4"/>
          <w:sz w:val="32"/>
        </w:rPr>
        <w:t>规范高校教师聘用和职称评聘条件设置，不得将国</w:t>
      </w:r>
      <w:r>
        <w:rPr>
          <w:sz w:val="32"/>
        </w:rPr>
        <w:t>（境）外学习经历作为限制性条件。</w:t>
      </w:r>
    </w:p>
    <w:p>
      <w:pPr>
        <w:pStyle w:val="7"/>
        <w:numPr>
          <w:ilvl w:val="0"/>
          <w:numId w:val="6"/>
        </w:numPr>
        <w:tabs>
          <w:tab w:val="left" w:pos="1228"/>
        </w:tabs>
        <w:spacing w:before="0" w:after="0" w:line="338" w:lineRule="auto"/>
        <w:ind w:left="106" w:right="333" w:firstLine="640"/>
        <w:jc w:val="both"/>
        <w:rPr>
          <w:sz w:val="32"/>
        </w:rPr>
      </w:pPr>
      <w:r>
        <w:rPr>
          <w:sz w:val="32"/>
        </w:rPr>
        <w:t>突出质量导向，重点评价学术贡献、社会贡献以及支撑</w:t>
      </w:r>
      <w:r>
        <w:rPr>
          <w:spacing w:val="-11"/>
          <w:w w:val="95"/>
          <w:sz w:val="32"/>
        </w:rPr>
        <w:t xml:space="preserve">人才培养情况，不得将论文数、项目数、课题经费等科研量化指 </w:t>
      </w:r>
      <w:r>
        <w:rPr>
          <w:spacing w:val="-11"/>
          <w:sz w:val="32"/>
        </w:rPr>
        <w:t>标与绩效工资分配、奖励挂钩。</w:t>
      </w:r>
    </w:p>
    <w:p>
      <w:pPr>
        <w:pStyle w:val="7"/>
        <w:numPr>
          <w:ilvl w:val="0"/>
          <w:numId w:val="6"/>
        </w:numPr>
        <w:tabs>
          <w:tab w:val="left" w:pos="1228"/>
        </w:tabs>
        <w:spacing w:before="3" w:after="0" w:line="338" w:lineRule="auto"/>
        <w:ind w:left="106" w:right="377" w:firstLine="640"/>
        <w:jc w:val="left"/>
        <w:rPr>
          <w:sz w:val="32"/>
        </w:rPr>
      </w:pPr>
      <w:r>
        <w:rPr>
          <w:sz w:val="32"/>
        </w:rPr>
        <w:t>不得把人才称号作为承担科研项目、职称评聘、评优评奖、学位点申报的限制性条件。</w:t>
      </w:r>
    </w:p>
    <w:p>
      <w:pPr>
        <w:pStyle w:val="7"/>
        <w:numPr>
          <w:ilvl w:val="0"/>
          <w:numId w:val="6"/>
        </w:numPr>
        <w:tabs>
          <w:tab w:val="left" w:pos="1228"/>
        </w:tabs>
        <w:spacing w:before="3" w:after="0" w:line="240" w:lineRule="auto"/>
        <w:ind w:left="1228" w:right="0" w:hanging="481"/>
        <w:jc w:val="left"/>
        <w:rPr>
          <w:sz w:val="32"/>
        </w:rPr>
      </w:pPr>
      <w:r>
        <w:rPr>
          <w:sz w:val="32"/>
        </w:rPr>
        <w:t>有关申报书不得设置填写人才称号栏目。</w:t>
      </w:r>
    </w:p>
    <w:p>
      <w:pPr>
        <w:spacing w:after="0" w:line="240" w:lineRule="auto"/>
        <w:jc w:val="left"/>
        <w:rPr>
          <w:sz w:val="32"/>
        </w:rPr>
        <w:sectPr>
          <w:type w:val="continuous"/>
          <w:pgSz w:w="11910" w:h="16840"/>
          <w:pgMar w:top="1580" w:right="1140" w:bottom="1160" w:left="1480" w:header="720" w:footer="720" w:gutter="0"/>
          <w:cols w:space="720" w:num="1"/>
        </w:sectPr>
      </w:pPr>
    </w:p>
    <w:p>
      <w:pPr>
        <w:pStyle w:val="3"/>
        <w:rPr>
          <w:sz w:val="20"/>
        </w:rPr>
      </w:pPr>
    </w:p>
    <w:p>
      <w:pPr>
        <w:pStyle w:val="3"/>
        <w:rPr>
          <w:sz w:val="26"/>
        </w:rPr>
      </w:pPr>
    </w:p>
    <w:p>
      <w:pPr>
        <w:pStyle w:val="7"/>
        <w:numPr>
          <w:ilvl w:val="0"/>
          <w:numId w:val="6"/>
        </w:numPr>
        <w:tabs>
          <w:tab w:val="left" w:pos="1228"/>
        </w:tabs>
        <w:spacing w:before="54" w:after="0" w:line="340" w:lineRule="auto"/>
        <w:ind w:left="106" w:right="377" w:firstLine="640"/>
        <w:jc w:val="left"/>
        <w:rPr>
          <w:sz w:val="32"/>
        </w:rPr>
      </w:pPr>
      <w:r>
        <w:rPr>
          <w:sz w:val="32"/>
        </w:rPr>
        <w:t>依据实际贡献合理确定人才薪酬，不得将人才称号与物质利益简单挂钩。</w:t>
      </w:r>
    </w:p>
    <w:p>
      <w:pPr>
        <w:pStyle w:val="7"/>
        <w:numPr>
          <w:ilvl w:val="0"/>
          <w:numId w:val="6"/>
        </w:numPr>
        <w:tabs>
          <w:tab w:val="left" w:pos="1387"/>
        </w:tabs>
        <w:spacing w:before="0" w:after="0" w:line="407" w:lineRule="exact"/>
        <w:ind w:left="1386" w:right="0" w:hanging="640"/>
        <w:jc w:val="left"/>
        <w:rPr>
          <w:sz w:val="32"/>
        </w:rPr>
      </w:pPr>
      <w:r>
        <w:rPr>
          <w:sz w:val="32"/>
        </w:rPr>
        <w:t>各级各类学校不得通过设置奖金等方式违规争抢生源。</w:t>
      </w:r>
    </w:p>
    <w:p>
      <w:pPr>
        <w:pStyle w:val="7"/>
        <w:numPr>
          <w:ilvl w:val="0"/>
          <w:numId w:val="6"/>
        </w:numPr>
        <w:tabs>
          <w:tab w:val="left" w:pos="1387"/>
        </w:tabs>
        <w:spacing w:before="169" w:after="0" w:line="340" w:lineRule="auto"/>
        <w:ind w:left="106" w:right="333" w:firstLine="640"/>
        <w:jc w:val="left"/>
        <w:rPr>
          <w:sz w:val="32"/>
        </w:rPr>
      </w:pPr>
      <w:r>
        <w:rPr>
          <w:spacing w:val="-4"/>
          <w:sz w:val="32"/>
        </w:rPr>
        <w:t>在招聘公告和实际操作中不得将毕业院校、国</w:t>
      </w:r>
      <w:r>
        <w:rPr>
          <w:sz w:val="32"/>
        </w:rPr>
        <w:t>（境</w:t>
      </w:r>
      <w:r>
        <w:rPr>
          <w:spacing w:val="-29"/>
          <w:sz w:val="32"/>
        </w:rPr>
        <w:t xml:space="preserve">） </w:t>
      </w:r>
      <w:r>
        <w:rPr>
          <w:sz w:val="32"/>
        </w:rPr>
        <w:t>外学习经历、学习方式作为限制性条件。</w:t>
      </w:r>
    </w:p>
    <w:p>
      <w:pPr>
        <w:pStyle w:val="3"/>
        <w:spacing w:line="407" w:lineRule="exact"/>
        <w:ind w:left="747"/>
        <w:rPr>
          <w:rFonts w:hint="eastAsia" w:ascii="黑体" w:eastAsia="黑体"/>
        </w:rPr>
      </w:pPr>
      <w:r>
        <w:rPr>
          <w:rFonts w:hint="eastAsia" w:ascii="黑体" w:eastAsia="黑体"/>
        </w:rPr>
        <w:t>二、克服纠正类</w:t>
      </w:r>
    </w:p>
    <w:p>
      <w:pPr>
        <w:pStyle w:val="7"/>
        <w:numPr>
          <w:ilvl w:val="0"/>
          <w:numId w:val="7"/>
        </w:numPr>
        <w:tabs>
          <w:tab w:val="left" w:pos="1228"/>
        </w:tabs>
        <w:spacing w:before="168" w:after="0" w:line="340" w:lineRule="auto"/>
        <w:ind w:left="106" w:right="377" w:firstLine="640"/>
        <w:jc w:val="left"/>
        <w:rPr>
          <w:sz w:val="32"/>
        </w:rPr>
      </w:pPr>
      <w:r>
        <w:rPr>
          <w:sz w:val="32"/>
        </w:rPr>
        <w:t>坚决克服唯分数、唯升学、唯文凭、唯论文、唯帽子的顽瘴痼疾。</w:t>
      </w:r>
    </w:p>
    <w:p>
      <w:pPr>
        <w:pStyle w:val="7"/>
        <w:numPr>
          <w:ilvl w:val="0"/>
          <w:numId w:val="7"/>
        </w:numPr>
        <w:tabs>
          <w:tab w:val="left" w:pos="1228"/>
        </w:tabs>
        <w:spacing w:before="0" w:after="0" w:line="407" w:lineRule="exact"/>
        <w:ind w:left="1228" w:right="0" w:hanging="481"/>
        <w:jc w:val="left"/>
        <w:rPr>
          <w:sz w:val="32"/>
        </w:rPr>
      </w:pPr>
      <w:r>
        <w:rPr>
          <w:sz w:val="32"/>
        </w:rPr>
        <w:t>坚决克服短视行为、功利化倾向。</w:t>
      </w:r>
    </w:p>
    <w:p>
      <w:pPr>
        <w:pStyle w:val="7"/>
        <w:numPr>
          <w:ilvl w:val="0"/>
          <w:numId w:val="7"/>
        </w:numPr>
        <w:tabs>
          <w:tab w:val="left" w:pos="1228"/>
        </w:tabs>
        <w:spacing w:before="168" w:after="0" w:line="240" w:lineRule="auto"/>
        <w:ind w:left="1228" w:right="0" w:hanging="481"/>
        <w:jc w:val="left"/>
        <w:rPr>
          <w:sz w:val="32"/>
        </w:rPr>
      </w:pPr>
      <w:r>
        <w:rPr>
          <w:sz w:val="32"/>
        </w:rPr>
        <w:t>坚决纠正片面追求升学率倾向。</w:t>
      </w:r>
    </w:p>
    <w:p>
      <w:pPr>
        <w:pStyle w:val="7"/>
        <w:numPr>
          <w:ilvl w:val="0"/>
          <w:numId w:val="7"/>
        </w:numPr>
        <w:tabs>
          <w:tab w:val="left" w:pos="1228"/>
        </w:tabs>
        <w:spacing w:before="171" w:after="0" w:line="240" w:lineRule="auto"/>
        <w:ind w:left="1228" w:right="0" w:hanging="481"/>
        <w:jc w:val="left"/>
        <w:rPr>
          <w:sz w:val="32"/>
        </w:rPr>
      </w:pPr>
      <w:r>
        <w:rPr>
          <w:spacing w:val="-5"/>
          <w:sz w:val="32"/>
        </w:rPr>
        <w:t>坚决克服重智育轻德育、重分数轻素质等片面办学行为。</w:t>
      </w:r>
    </w:p>
    <w:p>
      <w:pPr>
        <w:pStyle w:val="7"/>
        <w:numPr>
          <w:ilvl w:val="0"/>
          <w:numId w:val="7"/>
        </w:numPr>
        <w:tabs>
          <w:tab w:val="left" w:pos="1228"/>
        </w:tabs>
        <w:spacing w:before="171" w:after="0" w:line="240" w:lineRule="auto"/>
        <w:ind w:left="1228" w:right="0" w:hanging="481"/>
        <w:jc w:val="left"/>
        <w:rPr>
          <w:sz w:val="32"/>
        </w:rPr>
      </w:pPr>
      <w:r>
        <w:rPr>
          <w:sz w:val="32"/>
        </w:rPr>
        <w:t>克服小学化倾向。</w:t>
      </w:r>
    </w:p>
    <w:p>
      <w:pPr>
        <w:pStyle w:val="7"/>
        <w:numPr>
          <w:ilvl w:val="0"/>
          <w:numId w:val="7"/>
        </w:numPr>
        <w:tabs>
          <w:tab w:val="left" w:pos="1228"/>
        </w:tabs>
        <w:spacing w:before="168" w:after="0" w:line="240" w:lineRule="auto"/>
        <w:ind w:left="1228" w:right="0" w:hanging="481"/>
        <w:jc w:val="left"/>
        <w:rPr>
          <w:sz w:val="32"/>
        </w:rPr>
      </w:pPr>
      <w:r>
        <w:rPr>
          <w:sz w:val="32"/>
        </w:rPr>
        <w:t>纠正片面以学术头衔评价学术水平的做法。</w:t>
      </w:r>
    </w:p>
    <w:p>
      <w:pPr>
        <w:pStyle w:val="7"/>
        <w:numPr>
          <w:ilvl w:val="0"/>
          <w:numId w:val="7"/>
        </w:numPr>
        <w:tabs>
          <w:tab w:val="left" w:pos="1228"/>
        </w:tabs>
        <w:spacing w:before="171" w:after="0" w:line="240" w:lineRule="auto"/>
        <w:ind w:left="1228" w:right="0" w:hanging="481"/>
        <w:jc w:val="left"/>
        <w:rPr>
          <w:sz w:val="32"/>
        </w:rPr>
      </w:pPr>
      <w:r>
        <w:rPr>
          <w:sz w:val="32"/>
        </w:rPr>
        <w:t>坚决克服重科研轻教学、重教书轻育人等现象。</w:t>
      </w:r>
    </w:p>
    <w:p>
      <w:pPr>
        <w:pStyle w:val="7"/>
        <w:numPr>
          <w:ilvl w:val="0"/>
          <w:numId w:val="7"/>
        </w:numPr>
        <w:tabs>
          <w:tab w:val="left" w:pos="1228"/>
        </w:tabs>
        <w:spacing w:before="171" w:after="0" w:line="240" w:lineRule="auto"/>
        <w:ind w:left="1228" w:right="0" w:hanging="481"/>
        <w:jc w:val="left"/>
        <w:rPr>
          <w:sz w:val="32"/>
        </w:rPr>
      </w:pPr>
      <w:r>
        <w:rPr>
          <w:sz w:val="32"/>
        </w:rPr>
        <w:t>坚决改变用分数给学生贴标签的做法。</w:t>
      </w:r>
    </w:p>
    <w:p>
      <w:pPr>
        <w:pStyle w:val="7"/>
        <w:numPr>
          <w:ilvl w:val="0"/>
          <w:numId w:val="7"/>
        </w:numPr>
        <w:tabs>
          <w:tab w:val="left" w:pos="1228"/>
        </w:tabs>
        <w:spacing w:before="168" w:after="0" w:line="240" w:lineRule="auto"/>
        <w:ind w:left="1228" w:right="0" w:hanging="481"/>
        <w:jc w:val="left"/>
        <w:rPr>
          <w:sz w:val="32"/>
        </w:rPr>
      </w:pPr>
      <w:r>
        <w:rPr>
          <w:sz w:val="32"/>
        </w:rPr>
        <w:t>改变相对固化的试题形式，增强试题开放性。</w:t>
      </w:r>
    </w:p>
    <w:p>
      <w:pPr>
        <w:pStyle w:val="7"/>
        <w:numPr>
          <w:ilvl w:val="0"/>
          <w:numId w:val="7"/>
        </w:numPr>
        <w:tabs>
          <w:tab w:val="left" w:pos="1387"/>
        </w:tabs>
        <w:spacing w:before="171" w:after="0" w:line="338" w:lineRule="auto"/>
        <w:ind w:left="106" w:right="174" w:firstLine="640"/>
        <w:jc w:val="left"/>
        <w:rPr>
          <w:sz w:val="32"/>
        </w:rPr>
      </w:pPr>
      <w:r>
        <w:rPr>
          <w:spacing w:val="-16"/>
          <w:sz w:val="32"/>
        </w:rPr>
        <w:t xml:space="preserve">党政机关、事业单位、国有企业要带头扭转“唯名校” </w:t>
      </w:r>
      <w:r>
        <w:rPr>
          <w:spacing w:val="-12"/>
          <w:sz w:val="32"/>
        </w:rPr>
        <w:t>、 “唯学历”的用人导向，建立以品德和能力为导向、以岗位需求为目标的人才使用机制。</w:t>
      </w:r>
    </w:p>
    <w:p>
      <w:pPr>
        <w:pStyle w:val="7"/>
        <w:numPr>
          <w:ilvl w:val="0"/>
          <w:numId w:val="7"/>
        </w:numPr>
        <w:tabs>
          <w:tab w:val="left" w:pos="1387"/>
        </w:tabs>
        <w:spacing w:before="6" w:after="0" w:line="340" w:lineRule="auto"/>
        <w:ind w:left="106" w:right="331" w:firstLine="640"/>
        <w:jc w:val="left"/>
        <w:rPr>
          <w:sz w:val="32"/>
        </w:rPr>
      </w:pPr>
      <w:r>
        <w:rPr>
          <w:spacing w:val="-10"/>
          <w:sz w:val="32"/>
        </w:rPr>
        <w:t>改变人才“高消费”状况，形成不拘一格降人才的良好局面。</w:t>
      </w:r>
    </w:p>
    <w:p>
      <w:pPr>
        <w:spacing w:after="0" w:line="340" w:lineRule="auto"/>
        <w:jc w:val="left"/>
        <w:rPr>
          <w:sz w:val="32"/>
        </w:rPr>
        <w:sectPr>
          <w:pgSz w:w="11910" w:h="16840"/>
          <w:pgMar w:top="1580" w:right="1140" w:bottom="1160" w:left="1480" w:header="0" w:footer="971" w:gutter="0"/>
          <w:cols w:space="720" w:num="1"/>
        </w:sectPr>
      </w:pPr>
    </w:p>
    <w:p>
      <w:pPr>
        <w:pStyle w:val="3"/>
        <w:rPr>
          <w:sz w:val="20"/>
        </w:rPr>
      </w:pPr>
    </w:p>
    <w:p>
      <w:pPr>
        <w:pStyle w:val="3"/>
        <w:rPr>
          <w:sz w:val="26"/>
        </w:rPr>
      </w:pPr>
    </w:p>
    <w:p>
      <w:pPr>
        <w:pStyle w:val="3"/>
        <w:spacing w:before="54"/>
        <w:ind w:left="747"/>
        <w:rPr>
          <w:rFonts w:hint="eastAsia" w:ascii="黑体" w:eastAsia="黑体"/>
        </w:rPr>
      </w:pPr>
      <w:r>
        <w:rPr>
          <w:rFonts w:hint="eastAsia" w:ascii="黑体" w:eastAsia="黑体"/>
        </w:rPr>
        <w:t>三、控制限制类</w:t>
      </w:r>
    </w:p>
    <w:p>
      <w:pPr>
        <w:pStyle w:val="7"/>
        <w:numPr>
          <w:ilvl w:val="0"/>
          <w:numId w:val="8"/>
        </w:numPr>
        <w:tabs>
          <w:tab w:val="left" w:pos="1228"/>
        </w:tabs>
        <w:spacing w:before="171" w:after="0" w:line="240" w:lineRule="auto"/>
        <w:ind w:left="1228" w:right="0" w:hanging="481"/>
        <w:jc w:val="left"/>
        <w:rPr>
          <w:sz w:val="32"/>
        </w:rPr>
      </w:pPr>
      <w:r>
        <w:rPr>
          <w:sz w:val="32"/>
        </w:rPr>
        <w:t>淡化论文收录数、引用率、奖项数等数量指标。</w:t>
      </w:r>
    </w:p>
    <w:p>
      <w:pPr>
        <w:pStyle w:val="7"/>
        <w:numPr>
          <w:ilvl w:val="0"/>
          <w:numId w:val="8"/>
        </w:numPr>
        <w:tabs>
          <w:tab w:val="left" w:pos="1228"/>
        </w:tabs>
        <w:spacing w:before="171" w:after="0" w:line="240" w:lineRule="auto"/>
        <w:ind w:left="1228" w:right="0" w:hanging="481"/>
        <w:jc w:val="left"/>
        <w:rPr>
          <w:sz w:val="32"/>
        </w:rPr>
      </w:pPr>
      <w:r>
        <w:rPr>
          <w:sz w:val="32"/>
        </w:rPr>
        <w:t>教师成果严格按署名单位认定、不随人走。</w:t>
      </w:r>
    </w:p>
    <w:p>
      <w:pPr>
        <w:pStyle w:val="7"/>
        <w:numPr>
          <w:ilvl w:val="0"/>
          <w:numId w:val="8"/>
        </w:numPr>
        <w:tabs>
          <w:tab w:val="left" w:pos="1228"/>
        </w:tabs>
        <w:spacing w:before="168" w:after="0" w:line="240" w:lineRule="auto"/>
        <w:ind w:left="1228" w:right="0" w:hanging="481"/>
        <w:jc w:val="left"/>
        <w:rPr>
          <w:sz w:val="32"/>
        </w:rPr>
      </w:pPr>
      <w:r>
        <w:rPr>
          <w:sz w:val="32"/>
        </w:rPr>
        <w:t>减少死记硬背和“机械刷题”现象。</w:t>
      </w:r>
    </w:p>
    <w:p>
      <w:pPr>
        <w:pStyle w:val="7"/>
        <w:numPr>
          <w:ilvl w:val="0"/>
          <w:numId w:val="8"/>
        </w:numPr>
        <w:tabs>
          <w:tab w:val="left" w:pos="1228"/>
        </w:tabs>
        <w:spacing w:before="171" w:after="0" w:line="340" w:lineRule="auto"/>
        <w:ind w:left="106" w:right="377" w:firstLine="640"/>
        <w:jc w:val="left"/>
        <w:rPr>
          <w:sz w:val="32"/>
        </w:rPr>
      </w:pPr>
      <w:r>
        <w:rPr>
          <w:sz w:val="32"/>
        </w:rPr>
        <w:t>严格控制教育评价活动数量和频次，减少多头评价、重复评价，切实减轻基层和学校负担。</w:t>
      </w:r>
    </w:p>
    <w:p>
      <w:pPr>
        <w:pStyle w:val="7"/>
        <w:numPr>
          <w:ilvl w:val="0"/>
          <w:numId w:val="8"/>
        </w:numPr>
        <w:tabs>
          <w:tab w:val="left" w:pos="1228"/>
        </w:tabs>
        <w:spacing w:before="0" w:after="0" w:line="405" w:lineRule="exact"/>
        <w:ind w:left="1228" w:right="0" w:hanging="481"/>
        <w:jc w:val="left"/>
        <w:rPr>
          <w:sz w:val="32"/>
        </w:rPr>
      </w:pPr>
      <w:r>
        <w:rPr>
          <w:sz w:val="32"/>
        </w:rPr>
        <w:t>严格控制以考试方式抽检评测学校和学生。</w:t>
      </w:r>
    </w:p>
    <w:p>
      <w:pPr>
        <w:spacing w:after="0" w:line="405" w:lineRule="exact"/>
        <w:jc w:val="left"/>
        <w:rPr>
          <w:sz w:val="32"/>
        </w:rPr>
        <w:sectPr>
          <w:pgSz w:w="11910" w:h="16840"/>
          <w:pgMar w:top="1580" w:right="1140" w:bottom="1160" w:left="1480" w:header="0" w:footer="971"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19"/>
        </w:rPr>
      </w:pPr>
    </w:p>
    <w:p>
      <w:pPr>
        <w:pStyle w:val="3"/>
        <w:spacing w:line="20" w:lineRule="exact"/>
        <w:ind w:left="-54"/>
        <w:rPr>
          <w:sz w:val="2"/>
        </w:rPr>
      </w:pPr>
      <w:r>
        <w:rPr>
          <w:sz w:val="2"/>
        </w:rPr>
        <mc:AlternateContent>
          <mc:Choice Requires="wpg">
            <w:drawing>
              <wp:inline distT="0" distB="0" distL="114300" distR="114300">
                <wp:extent cx="5753100" cy="6350"/>
                <wp:effectExtent l="0" t="0" r="0" b="0"/>
                <wp:docPr id="2" name="组合 3"/>
                <wp:cNvGraphicFramePr/>
                <a:graphic xmlns:a="http://schemas.openxmlformats.org/drawingml/2006/main">
                  <a:graphicData uri="http://schemas.microsoft.com/office/word/2010/wordprocessingGroup">
                    <wpg:wgp>
                      <wpg:cNvGrpSpPr/>
                      <wpg:grpSpPr>
                        <a:xfrm>
                          <a:off x="0" y="0"/>
                          <a:ext cx="5753100" cy="6350"/>
                          <a:chOff x="0" y="0"/>
                          <a:chExt cx="9060" cy="10"/>
                        </a:xfrm>
                      </wpg:grpSpPr>
                      <wps:wsp>
                        <wps:cNvPr id="1" name="直线 4"/>
                        <wps:cNvSpPr/>
                        <wps:spPr>
                          <a:xfrm>
                            <a:off x="0" y="5"/>
                            <a:ext cx="9060"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3" o:spid="_x0000_s1026" o:spt="203" style="height:0.5pt;width:453pt;" coordsize="9060,10" o:gfxdata="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0ZVby0gAAAAMBAAAPAAAAAAAAAAEAIAAAACIA&#10;AABkcnMvZG93bnJldi54bWxQSwECFAAUAAAACACHTuJA0CN/MkgCAAD+BAAADgAAAAAAAAABACAA&#10;AAAhAQAAZHJzL2Uyb0RvYy54bWxQSwUGAAAAAAYABgBZAQAA2wUAAAAA&#10;">
                <o:lock v:ext="edit" aspectratio="f"/>
                <v:line id="直线 4" o:spid="_x0000_s1026" o:spt="20" style="position:absolute;left:0;top:5;height:0;width:9060;"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pStyle w:val="3"/>
        <w:spacing w:before="8"/>
        <w:rPr>
          <w:sz w:val="11"/>
        </w:rPr>
      </w:pPr>
    </w:p>
    <w:p>
      <w:pPr>
        <w:tabs>
          <w:tab w:val="left" w:pos="6219"/>
        </w:tabs>
        <w:spacing w:before="62"/>
        <w:ind w:left="200" w:right="0" w:firstLine="0"/>
        <w:jc w:val="left"/>
        <w:rPr>
          <w:sz w:val="28"/>
        </w:rPr>
      </w:pPr>
      <w:r>
        <mc:AlternateContent>
          <mc:Choice Requires="wps">
            <w:drawing>
              <wp:anchor distT="0" distB="0" distL="114300" distR="114300" simplePos="0" relativeHeight="251664384" behindDoc="0" locked="0" layoutInCell="1" allowOverlap="1">
                <wp:simplePos x="0" y="0"/>
                <wp:positionH relativeFrom="page">
                  <wp:posOffset>908685</wp:posOffset>
                </wp:positionH>
                <wp:positionV relativeFrom="paragraph">
                  <wp:posOffset>318135</wp:posOffset>
                </wp:positionV>
                <wp:extent cx="5752465" cy="0"/>
                <wp:effectExtent l="0" t="0" r="0" b="0"/>
                <wp:wrapNone/>
                <wp:docPr id="3" name="直线 5"/>
                <wp:cNvGraphicFramePr/>
                <a:graphic xmlns:a="http://schemas.openxmlformats.org/drawingml/2006/main">
                  <a:graphicData uri="http://schemas.microsoft.com/office/word/2010/wordprocessingShape">
                    <wps:wsp>
                      <wps:cNvSpPr/>
                      <wps:spPr>
                        <a:xfrm>
                          <a:off x="0" y="0"/>
                          <a:ext cx="575246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1.55pt;margin-top:25.05pt;height:0pt;width:452.95pt;mso-position-horizontal-relative:page;z-index:251664384;mso-width-relative:page;mso-height-relative:page;" filled="f" stroked="t" coordsize="21600,21600" o:gfxdata="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JgeT&#10;2AAAAAoBAAAPAAAAAAAAAAEAIAAAACIAAABkcnMvZG93bnJldi54bWxQSwECFAAUAAAACACHTuJA&#10;Ipi/2OgBAADbAwAADgAAAAAAAAABACAAAAAnAQAAZHJzL2Uyb0RvYy54bWxQSwUGAAAAAAYABgBZ&#10;AQAAgQUAAAAA&#10;">
                <v:fill on="f" focussize="0,0"/>
                <v:stroke weight="0.48pt" color="#000000" joinstyle="round"/>
                <v:imagedata o:title=""/>
                <o:lock v:ext="edit" aspectratio="f"/>
              </v:line>
            </w:pict>
          </mc:Fallback>
        </mc:AlternateContent>
      </w:r>
      <w:r>
        <w:rPr>
          <w:sz w:val="28"/>
        </w:rPr>
        <w:t>平</w:t>
      </w:r>
      <w:r>
        <w:rPr>
          <w:spacing w:val="-3"/>
          <w:sz w:val="28"/>
        </w:rPr>
        <w:t>顶</w:t>
      </w:r>
      <w:r>
        <w:rPr>
          <w:sz w:val="28"/>
        </w:rPr>
        <w:t>山市</w:t>
      </w:r>
      <w:r>
        <w:rPr>
          <w:spacing w:val="-3"/>
          <w:sz w:val="28"/>
        </w:rPr>
        <w:t>教</w:t>
      </w:r>
      <w:r>
        <w:rPr>
          <w:sz w:val="28"/>
        </w:rPr>
        <w:t>育体</w:t>
      </w:r>
      <w:r>
        <w:rPr>
          <w:spacing w:val="-3"/>
          <w:sz w:val="28"/>
        </w:rPr>
        <w:t>育</w:t>
      </w:r>
      <w:r>
        <w:rPr>
          <w:sz w:val="28"/>
        </w:rPr>
        <w:t>局</w:t>
      </w:r>
      <w:r>
        <w:rPr>
          <w:spacing w:val="-3"/>
          <w:sz w:val="28"/>
        </w:rPr>
        <w:t>办</w:t>
      </w:r>
      <w:r>
        <w:rPr>
          <w:sz w:val="28"/>
        </w:rPr>
        <w:t>公室</w:t>
      </w:r>
      <w:r>
        <w:rPr>
          <w:sz w:val="28"/>
        </w:rPr>
        <w:tab/>
      </w:r>
      <w:r>
        <w:rPr>
          <w:sz w:val="28"/>
        </w:rPr>
        <w:t>2022</w:t>
      </w:r>
      <w:r>
        <w:rPr>
          <w:spacing w:val="-72"/>
          <w:sz w:val="28"/>
        </w:rPr>
        <w:t xml:space="preserve"> </w:t>
      </w:r>
      <w:r>
        <w:rPr>
          <w:sz w:val="28"/>
        </w:rPr>
        <w:t>年</w:t>
      </w:r>
      <w:r>
        <w:rPr>
          <w:spacing w:val="-71"/>
          <w:sz w:val="28"/>
        </w:rPr>
        <w:t xml:space="preserve"> </w:t>
      </w:r>
      <w:r>
        <w:rPr>
          <w:sz w:val="28"/>
        </w:rPr>
        <w:t>8</w:t>
      </w:r>
      <w:r>
        <w:rPr>
          <w:spacing w:val="-69"/>
          <w:sz w:val="28"/>
        </w:rPr>
        <w:t xml:space="preserve"> </w:t>
      </w:r>
      <w:r>
        <w:rPr>
          <w:sz w:val="28"/>
        </w:rPr>
        <w:t>月</w:t>
      </w:r>
      <w:r>
        <w:rPr>
          <w:spacing w:val="-71"/>
          <w:sz w:val="28"/>
        </w:rPr>
        <w:t xml:space="preserve"> </w:t>
      </w:r>
      <w:r>
        <w:rPr>
          <w:sz w:val="28"/>
        </w:rPr>
        <w:t>9</w:t>
      </w:r>
      <w:r>
        <w:rPr>
          <w:spacing w:val="-72"/>
          <w:sz w:val="28"/>
        </w:rPr>
        <w:t xml:space="preserve"> </w:t>
      </w:r>
      <w:r>
        <w:rPr>
          <w:sz w:val="28"/>
        </w:rPr>
        <w:t>日</w:t>
      </w:r>
      <w:r>
        <w:rPr>
          <w:spacing w:val="-3"/>
          <w:sz w:val="28"/>
        </w:rPr>
        <w:t>印</w:t>
      </w:r>
      <w:r>
        <w:rPr>
          <w:sz w:val="28"/>
        </w:rPr>
        <w:t>发</w:t>
      </w:r>
    </w:p>
    <w:sectPr>
      <w:footerReference r:id="rId9" w:type="even"/>
      <w:pgSz w:w="11910" w:h="16840"/>
      <w:pgMar w:top="1580" w:right="1140" w:bottom="280" w:left="14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6167120</wp:posOffset>
              </wp:positionH>
              <wp:positionV relativeFrom="page">
                <wp:posOffset>9935210</wp:posOffset>
              </wp:positionV>
              <wp:extent cx="46990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5.6pt;margin-top:782.3pt;height:16.05pt;width:37pt;mso-position-horizontal-relative:page;mso-position-vertical-relative:page;z-index:-251657216;mso-width-relative:page;mso-height-relative:page;" filled="f" stroked="f" coordsize="21600,21600" o:gfxdata="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eBi39oAAAAOAQAADwAAAAAAAAABACAAAAAiAAAAZHJzL2Rvd25yZXYueG1sUEsB&#10;AhQAFAAAAAgAh07iQPsfecu6AQAAcQ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994410</wp:posOffset>
              </wp:positionH>
              <wp:positionV relativeFrom="page">
                <wp:posOffset>9935210</wp:posOffset>
              </wp:positionV>
              <wp:extent cx="471805" cy="203835"/>
              <wp:effectExtent l="0" t="0" r="0" b="0"/>
              <wp:wrapNone/>
              <wp:docPr id="5" name="文本框 2"/>
              <wp:cNvGraphicFramePr/>
              <a:graphic xmlns:a="http://schemas.openxmlformats.org/drawingml/2006/main">
                <a:graphicData uri="http://schemas.microsoft.com/office/word/2010/wordprocessingShape">
                  <wps:wsp>
                    <wps:cNvSpPr txBox="1"/>
                    <wps:spPr>
                      <a:xfrm>
                        <a:off x="0" y="0"/>
                        <a:ext cx="47180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78.3pt;margin-top:782.3pt;height:16.05pt;width:37.15pt;mso-position-horizontal-relative:page;mso-position-vertical-relative:page;z-index:-251656192;mso-width-relative:page;mso-height-relative:page;" filled="f" stroked="f" coordsize="21600,21600" o:gfxdata="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KuY82QAAAA0BAAAPAAAAAAAAAAEAIAAAACIAAABkcnMvZG93bnJldi54bWxQSwEC&#10;FAAUAAAACACHTuJAEHUc47oBAABxAwAADgAAAAAAAAABACAAAAAoAQAAZHJzL2Uyb0RvYy54bWxQ&#10;SwUGAAAAAAYABgBZAQAAVA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6078220</wp:posOffset>
              </wp:positionH>
              <wp:positionV relativeFrom="page">
                <wp:posOffset>9935210</wp:posOffset>
              </wp:positionV>
              <wp:extent cx="558165" cy="203835"/>
              <wp:effectExtent l="0" t="0" r="0" b="0"/>
              <wp:wrapNone/>
              <wp:docPr id="7" name="文本框 4"/>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wps:txbx>
                    <wps:bodyPr lIns="0" tIns="0" rIns="0" bIns="0" upright="1"/>
                  </wps:wsp>
                </a:graphicData>
              </a:graphic>
            </wp:anchor>
          </w:drawing>
        </mc:Choice>
        <mc:Fallback>
          <w:pict>
            <v:shape id="文本框 4" o:spid="_x0000_s1026" o:spt="202" type="#_x0000_t202" style="position:absolute;left:0pt;margin-left:478.6pt;margin-top:782.3pt;height:16.05pt;width:43.95pt;mso-position-horizontal-relative:page;mso-position-vertical-relative:page;z-index:-251654144;mso-width-relative:page;mso-height-relative:page;" filled="f" stroked="f" coordsize="21600,21600" o:gfxdata="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aMiKb2wAAAA4BAAAPAAAAAAAAAAEAIAAAACIAAABkcnMvZG93bnJldi54bWxQ&#10;SwECFAAUAAAACACHTuJAu4UcN7sBAABxAwAADgAAAAAAAAABACAAAAAqAQAAZHJzL2Uyb0RvYy54&#10;bWxQSwUGAAAAAAYABgBZAQAAVw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994410</wp:posOffset>
              </wp:positionH>
              <wp:positionV relativeFrom="page">
                <wp:posOffset>9935210</wp:posOffset>
              </wp:positionV>
              <wp:extent cx="560070" cy="203835"/>
              <wp:effectExtent l="0" t="0" r="0" b="0"/>
              <wp:wrapNone/>
              <wp:docPr id="6" name="文本框 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78.3pt;margin-top:782.3pt;height:16.05pt;width:44.1pt;mso-position-horizontal-relative:page;mso-position-vertical-relative:page;z-index:-251655168;mso-width-relative:page;mso-height-relative:page;" filled="f" stroked="f" coordsize="21600,21600" o:gfxdata="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eXVhtgAAAANAQAADwAAAAAAAAABACAAAAAiAAAAZHJzL2Rvd25yZXYueG1sUEsBAhQA&#10;FAAAAAgAh07iQJn+Hta5AQAAcQMAAA4AAAAAAAAAAQAgAAAAJwEAAGRycy9lMm9Eb2MueG1sUEsF&#10;BgAAAAAGAAYAWQEAAFI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06"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18" w:hanging="322"/>
      </w:pPr>
      <w:rPr>
        <w:rFonts w:hint="default"/>
        <w:lang w:val="zh-CN" w:eastAsia="zh-CN" w:bidi="zh-CN"/>
      </w:rPr>
    </w:lvl>
    <w:lvl w:ilvl="2" w:tentative="0">
      <w:start w:val="0"/>
      <w:numFmt w:val="bullet"/>
      <w:lvlText w:val="•"/>
      <w:lvlJc w:val="left"/>
      <w:pPr>
        <w:ind w:left="1937" w:hanging="322"/>
      </w:pPr>
      <w:rPr>
        <w:rFonts w:hint="default"/>
        <w:lang w:val="zh-CN" w:eastAsia="zh-CN" w:bidi="zh-CN"/>
      </w:rPr>
    </w:lvl>
    <w:lvl w:ilvl="3" w:tentative="0">
      <w:start w:val="0"/>
      <w:numFmt w:val="bullet"/>
      <w:lvlText w:val="•"/>
      <w:lvlJc w:val="left"/>
      <w:pPr>
        <w:ind w:left="2855" w:hanging="322"/>
      </w:pPr>
      <w:rPr>
        <w:rFonts w:hint="default"/>
        <w:lang w:val="zh-CN" w:eastAsia="zh-CN" w:bidi="zh-CN"/>
      </w:rPr>
    </w:lvl>
    <w:lvl w:ilvl="4" w:tentative="0">
      <w:start w:val="0"/>
      <w:numFmt w:val="bullet"/>
      <w:lvlText w:val="•"/>
      <w:lvlJc w:val="left"/>
      <w:pPr>
        <w:ind w:left="3774" w:hanging="322"/>
      </w:pPr>
      <w:rPr>
        <w:rFonts w:hint="default"/>
        <w:lang w:val="zh-CN" w:eastAsia="zh-CN" w:bidi="zh-CN"/>
      </w:rPr>
    </w:lvl>
    <w:lvl w:ilvl="5" w:tentative="0">
      <w:start w:val="0"/>
      <w:numFmt w:val="bullet"/>
      <w:lvlText w:val="•"/>
      <w:lvlJc w:val="left"/>
      <w:pPr>
        <w:ind w:left="4693" w:hanging="322"/>
      </w:pPr>
      <w:rPr>
        <w:rFonts w:hint="default"/>
        <w:lang w:val="zh-CN" w:eastAsia="zh-CN" w:bidi="zh-CN"/>
      </w:rPr>
    </w:lvl>
    <w:lvl w:ilvl="6" w:tentative="0">
      <w:start w:val="0"/>
      <w:numFmt w:val="bullet"/>
      <w:lvlText w:val="•"/>
      <w:lvlJc w:val="left"/>
      <w:pPr>
        <w:ind w:left="5611" w:hanging="322"/>
      </w:pPr>
      <w:rPr>
        <w:rFonts w:hint="default"/>
        <w:lang w:val="zh-CN" w:eastAsia="zh-CN" w:bidi="zh-CN"/>
      </w:rPr>
    </w:lvl>
    <w:lvl w:ilvl="7" w:tentative="0">
      <w:start w:val="0"/>
      <w:numFmt w:val="bullet"/>
      <w:lvlText w:val="•"/>
      <w:lvlJc w:val="left"/>
      <w:pPr>
        <w:ind w:left="6530" w:hanging="322"/>
      </w:pPr>
      <w:rPr>
        <w:rFonts w:hint="default"/>
        <w:lang w:val="zh-CN" w:eastAsia="zh-CN" w:bidi="zh-CN"/>
      </w:rPr>
    </w:lvl>
    <w:lvl w:ilvl="8" w:tentative="0">
      <w:start w:val="0"/>
      <w:numFmt w:val="bullet"/>
      <w:lvlText w:val="•"/>
      <w:lvlJc w:val="left"/>
      <w:pPr>
        <w:ind w:left="7448" w:hanging="32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06"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18" w:hanging="322"/>
      </w:pPr>
      <w:rPr>
        <w:rFonts w:hint="default"/>
        <w:lang w:val="zh-CN" w:eastAsia="zh-CN" w:bidi="zh-CN"/>
      </w:rPr>
    </w:lvl>
    <w:lvl w:ilvl="2" w:tentative="0">
      <w:start w:val="0"/>
      <w:numFmt w:val="bullet"/>
      <w:lvlText w:val="•"/>
      <w:lvlJc w:val="left"/>
      <w:pPr>
        <w:ind w:left="1937" w:hanging="322"/>
      </w:pPr>
      <w:rPr>
        <w:rFonts w:hint="default"/>
        <w:lang w:val="zh-CN" w:eastAsia="zh-CN" w:bidi="zh-CN"/>
      </w:rPr>
    </w:lvl>
    <w:lvl w:ilvl="3" w:tentative="0">
      <w:start w:val="0"/>
      <w:numFmt w:val="bullet"/>
      <w:lvlText w:val="•"/>
      <w:lvlJc w:val="left"/>
      <w:pPr>
        <w:ind w:left="2855" w:hanging="322"/>
      </w:pPr>
      <w:rPr>
        <w:rFonts w:hint="default"/>
        <w:lang w:val="zh-CN" w:eastAsia="zh-CN" w:bidi="zh-CN"/>
      </w:rPr>
    </w:lvl>
    <w:lvl w:ilvl="4" w:tentative="0">
      <w:start w:val="0"/>
      <w:numFmt w:val="bullet"/>
      <w:lvlText w:val="•"/>
      <w:lvlJc w:val="left"/>
      <w:pPr>
        <w:ind w:left="3774" w:hanging="322"/>
      </w:pPr>
      <w:rPr>
        <w:rFonts w:hint="default"/>
        <w:lang w:val="zh-CN" w:eastAsia="zh-CN" w:bidi="zh-CN"/>
      </w:rPr>
    </w:lvl>
    <w:lvl w:ilvl="5" w:tentative="0">
      <w:start w:val="0"/>
      <w:numFmt w:val="bullet"/>
      <w:lvlText w:val="•"/>
      <w:lvlJc w:val="left"/>
      <w:pPr>
        <w:ind w:left="4693" w:hanging="322"/>
      </w:pPr>
      <w:rPr>
        <w:rFonts w:hint="default"/>
        <w:lang w:val="zh-CN" w:eastAsia="zh-CN" w:bidi="zh-CN"/>
      </w:rPr>
    </w:lvl>
    <w:lvl w:ilvl="6" w:tentative="0">
      <w:start w:val="0"/>
      <w:numFmt w:val="bullet"/>
      <w:lvlText w:val="•"/>
      <w:lvlJc w:val="left"/>
      <w:pPr>
        <w:ind w:left="5611" w:hanging="322"/>
      </w:pPr>
      <w:rPr>
        <w:rFonts w:hint="default"/>
        <w:lang w:val="zh-CN" w:eastAsia="zh-CN" w:bidi="zh-CN"/>
      </w:rPr>
    </w:lvl>
    <w:lvl w:ilvl="7" w:tentative="0">
      <w:start w:val="0"/>
      <w:numFmt w:val="bullet"/>
      <w:lvlText w:val="•"/>
      <w:lvlJc w:val="left"/>
      <w:pPr>
        <w:ind w:left="6530" w:hanging="322"/>
      </w:pPr>
      <w:rPr>
        <w:rFonts w:hint="default"/>
        <w:lang w:val="zh-CN" w:eastAsia="zh-CN" w:bidi="zh-CN"/>
      </w:rPr>
    </w:lvl>
    <w:lvl w:ilvl="8" w:tentative="0">
      <w:start w:val="0"/>
      <w:numFmt w:val="bullet"/>
      <w:lvlText w:val="•"/>
      <w:lvlJc w:val="left"/>
      <w:pPr>
        <w:ind w:left="7448" w:hanging="32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06"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18" w:hanging="322"/>
      </w:pPr>
      <w:rPr>
        <w:rFonts w:hint="default"/>
        <w:lang w:val="zh-CN" w:eastAsia="zh-CN" w:bidi="zh-CN"/>
      </w:rPr>
    </w:lvl>
    <w:lvl w:ilvl="2" w:tentative="0">
      <w:start w:val="0"/>
      <w:numFmt w:val="bullet"/>
      <w:lvlText w:val="•"/>
      <w:lvlJc w:val="left"/>
      <w:pPr>
        <w:ind w:left="1937" w:hanging="322"/>
      </w:pPr>
      <w:rPr>
        <w:rFonts w:hint="default"/>
        <w:lang w:val="zh-CN" w:eastAsia="zh-CN" w:bidi="zh-CN"/>
      </w:rPr>
    </w:lvl>
    <w:lvl w:ilvl="3" w:tentative="0">
      <w:start w:val="0"/>
      <w:numFmt w:val="bullet"/>
      <w:lvlText w:val="•"/>
      <w:lvlJc w:val="left"/>
      <w:pPr>
        <w:ind w:left="2855" w:hanging="322"/>
      </w:pPr>
      <w:rPr>
        <w:rFonts w:hint="default"/>
        <w:lang w:val="zh-CN" w:eastAsia="zh-CN" w:bidi="zh-CN"/>
      </w:rPr>
    </w:lvl>
    <w:lvl w:ilvl="4" w:tentative="0">
      <w:start w:val="0"/>
      <w:numFmt w:val="bullet"/>
      <w:lvlText w:val="•"/>
      <w:lvlJc w:val="left"/>
      <w:pPr>
        <w:ind w:left="3774" w:hanging="322"/>
      </w:pPr>
      <w:rPr>
        <w:rFonts w:hint="default"/>
        <w:lang w:val="zh-CN" w:eastAsia="zh-CN" w:bidi="zh-CN"/>
      </w:rPr>
    </w:lvl>
    <w:lvl w:ilvl="5" w:tentative="0">
      <w:start w:val="0"/>
      <w:numFmt w:val="bullet"/>
      <w:lvlText w:val="•"/>
      <w:lvlJc w:val="left"/>
      <w:pPr>
        <w:ind w:left="4693" w:hanging="322"/>
      </w:pPr>
      <w:rPr>
        <w:rFonts w:hint="default"/>
        <w:lang w:val="zh-CN" w:eastAsia="zh-CN" w:bidi="zh-CN"/>
      </w:rPr>
    </w:lvl>
    <w:lvl w:ilvl="6" w:tentative="0">
      <w:start w:val="0"/>
      <w:numFmt w:val="bullet"/>
      <w:lvlText w:val="•"/>
      <w:lvlJc w:val="left"/>
      <w:pPr>
        <w:ind w:left="5611" w:hanging="322"/>
      </w:pPr>
      <w:rPr>
        <w:rFonts w:hint="default"/>
        <w:lang w:val="zh-CN" w:eastAsia="zh-CN" w:bidi="zh-CN"/>
      </w:rPr>
    </w:lvl>
    <w:lvl w:ilvl="7" w:tentative="0">
      <w:start w:val="0"/>
      <w:numFmt w:val="bullet"/>
      <w:lvlText w:val="•"/>
      <w:lvlJc w:val="left"/>
      <w:pPr>
        <w:ind w:left="6530" w:hanging="322"/>
      </w:pPr>
      <w:rPr>
        <w:rFonts w:hint="default"/>
        <w:lang w:val="zh-CN" w:eastAsia="zh-CN" w:bidi="zh-CN"/>
      </w:rPr>
    </w:lvl>
    <w:lvl w:ilvl="8" w:tentative="0">
      <w:start w:val="0"/>
      <w:numFmt w:val="bullet"/>
      <w:lvlText w:val="•"/>
      <w:lvlJc w:val="left"/>
      <w:pPr>
        <w:ind w:left="7448" w:hanging="322"/>
      </w:pPr>
      <w:rPr>
        <w:rFonts w:hint="default"/>
        <w:lang w:val="zh-CN" w:eastAsia="zh-CN" w:bidi="zh-CN"/>
      </w:rPr>
    </w:lvl>
  </w:abstractNum>
  <w:abstractNum w:abstractNumId="3">
    <w:nsid w:val="0248C179"/>
    <w:multiLevelType w:val="multilevel"/>
    <w:tmpl w:val="0248C179"/>
    <w:lvl w:ilvl="0" w:tentative="0">
      <w:start w:val="1"/>
      <w:numFmt w:val="decimal"/>
      <w:lvlText w:val="%1."/>
      <w:lvlJc w:val="left"/>
      <w:pPr>
        <w:ind w:left="1228" w:hanging="481"/>
        <w:jc w:val="left"/>
      </w:pPr>
      <w:rPr>
        <w:rFonts w:hint="default" w:ascii="仿宋_GB2312" w:hAnsi="仿宋_GB2312" w:eastAsia="仿宋_GB2312" w:cs="仿宋_GB2312"/>
        <w:spacing w:val="0"/>
        <w:w w:val="99"/>
        <w:sz w:val="30"/>
        <w:szCs w:val="30"/>
        <w:lang w:val="zh-CN" w:eastAsia="zh-CN" w:bidi="zh-CN"/>
      </w:rPr>
    </w:lvl>
    <w:lvl w:ilvl="1" w:tentative="0">
      <w:start w:val="0"/>
      <w:numFmt w:val="bullet"/>
      <w:lvlText w:val="•"/>
      <w:lvlJc w:val="left"/>
      <w:pPr>
        <w:ind w:left="2026" w:hanging="481"/>
      </w:pPr>
      <w:rPr>
        <w:rFonts w:hint="default"/>
        <w:lang w:val="zh-CN" w:eastAsia="zh-CN" w:bidi="zh-CN"/>
      </w:rPr>
    </w:lvl>
    <w:lvl w:ilvl="2" w:tentative="0">
      <w:start w:val="0"/>
      <w:numFmt w:val="bullet"/>
      <w:lvlText w:val="•"/>
      <w:lvlJc w:val="left"/>
      <w:pPr>
        <w:ind w:left="2833" w:hanging="481"/>
      </w:pPr>
      <w:rPr>
        <w:rFonts w:hint="default"/>
        <w:lang w:val="zh-CN" w:eastAsia="zh-CN" w:bidi="zh-CN"/>
      </w:rPr>
    </w:lvl>
    <w:lvl w:ilvl="3" w:tentative="0">
      <w:start w:val="0"/>
      <w:numFmt w:val="bullet"/>
      <w:lvlText w:val="•"/>
      <w:lvlJc w:val="left"/>
      <w:pPr>
        <w:ind w:left="3639" w:hanging="481"/>
      </w:pPr>
      <w:rPr>
        <w:rFonts w:hint="default"/>
        <w:lang w:val="zh-CN" w:eastAsia="zh-CN" w:bidi="zh-CN"/>
      </w:rPr>
    </w:lvl>
    <w:lvl w:ilvl="4" w:tentative="0">
      <w:start w:val="0"/>
      <w:numFmt w:val="bullet"/>
      <w:lvlText w:val="•"/>
      <w:lvlJc w:val="left"/>
      <w:pPr>
        <w:ind w:left="4446" w:hanging="481"/>
      </w:pPr>
      <w:rPr>
        <w:rFonts w:hint="default"/>
        <w:lang w:val="zh-CN" w:eastAsia="zh-CN" w:bidi="zh-CN"/>
      </w:rPr>
    </w:lvl>
    <w:lvl w:ilvl="5" w:tentative="0">
      <w:start w:val="0"/>
      <w:numFmt w:val="bullet"/>
      <w:lvlText w:val="•"/>
      <w:lvlJc w:val="left"/>
      <w:pPr>
        <w:ind w:left="5253" w:hanging="481"/>
      </w:pPr>
      <w:rPr>
        <w:rFonts w:hint="default"/>
        <w:lang w:val="zh-CN" w:eastAsia="zh-CN" w:bidi="zh-CN"/>
      </w:rPr>
    </w:lvl>
    <w:lvl w:ilvl="6" w:tentative="0">
      <w:start w:val="0"/>
      <w:numFmt w:val="bullet"/>
      <w:lvlText w:val="•"/>
      <w:lvlJc w:val="left"/>
      <w:pPr>
        <w:ind w:left="6059" w:hanging="481"/>
      </w:pPr>
      <w:rPr>
        <w:rFonts w:hint="default"/>
        <w:lang w:val="zh-CN" w:eastAsia="zh-CN" w:bidi="zh-CN"/>
      </w:rPr>
    </w:lvl>
    <w:lvl w:ilvl="7" w:tentative="0">
      <w:start w:val="0"/>
      <w:numFmt w:val="bullet"/>
      <w:lvlText w:val="•"/>
      <w:lvlJc w:val="left"/>
      <w:pPr>
        <w:ind w:left="6866" w:hanging="481"/>
      </w:pPr>
      <w:rPr>
        <w:rFonts w:hint="default"/>
        <w:lang w:val="zh-CN" w:eastAsia="zh-CN" w:bidi="zh-CN"/>
      </w:rPr>
    </w:lvl>
    <w:lvl w:ilvl="8" w:tentative="0">
      <w:start w:val="0"/>
      <w:numFmt w:val="bullet"/>
      <w:lvlText w:val="•"/>
      <w:lvlJc w:val="left"/>
      <w:pPr>
        <w:ind w:left="7672" w:hanging="481"/>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06"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18" w:hanging="322"/>
      </w:pPr>
      <w:rPr>
        <w:rFonts w:hint="default"/>
        <w:lang w:val="zh-CN" w:eastAsia="zh-CN" w:bidi="zh-CN"/>
      </w:rPr>
    </w:lvl>
    <w:lvl w:ilvl="2" w:tentative="0">
      <w:start w:val="0"/>
      <w:numFmt w:val="bullet"/>
      <w:lvlText w:val="•"/>
      <w:lvlJc w:val="left"/>
      <w:pPr>
        <w:ind w:left="1937" w:hanging="322"/>
      </w:pPr>
      <w:rPr>
        <w:rFonts w:hint="default"/>
        <w:lang w:val="zh-CN" w:eastAsia="zh-CN" w:bidi="zh-CN"/>
      </w:rPr>
    </w:lvl>
    <w:lvl w:ilvl="3" w:tentative="0">
      <w:start w:val="0"/>
      <w:numFmt w:val="bullet"/>
      <w:lvlText w:val="•"/>
      <w:lvlJc w:val="left"/>
      <w:pPr>
        <w:ind w:left="2855" w:hanging="322"/>
      </w:pPr>
      <w:rPr>
        <w:rFonts w:hint="default"/>
        <w:lang w:val="zh-CN" w:eastAsia="zh-CN" w:bidi="zh-CN"/>
      </w:rPr>
    </w:lvl>
    <w:lvl w:ilvl="4" w:tentative="0">
      <w:start w:val="0"/>
      <w:numFmt w:val="bullet"/>
      <w:lvlText w:val="•"/>
      <w:lvlJc w:val="left"/>
      <w:pPr>
        <w:ind w:left="3774" w:hanging="322"/>
      </w:pPr>
      <w:rPr>
        <w:rFonts w:hint="default"/>
        <w:lang w:val="zh-CN" w:eastAsia="zh-CN" w:bidi="zh-CN"/>
      </w:rPr>
    </w:lvl>
    <w:lvl w:ilvl="5" w:tentative="0">
      <w:start w:val="0"/>
      <w:numFmt w:val="bullet"/>
      <w:lvlText w:val="•"/>
      <w:lvlJc w:val="left"/>
      <w:pPr>
        <w:ind w:left="4693" w:hanging="322"/>
      </w:pPr>
      <w:rPr>
        <w:rFonts w:hint="default"/>
        <w:lang w:val="zh-CN" w:eastAsia="zh-CN" w:bidi="zh-CN"/>
      </w:rPr>
    </w:lvl>
    <w:lvl w:ilvl="6" w:tentative="0">
      <w:start w:val="0"/>
      <w:numFmt w:val="bullet"/>
      <w:lvlText w:val="•"/>
      <w:lvlJc w:val="left"/>
      <w:pPr>
        <w:ind w:left="5611" w:hanging="322"/>
      </w:pPr>
      <w:rPr>
        <w:rFonts w:hint="default"/>
        <w:lang w:val="zh-CN" w:eastAsia="zh-CN" w:bidi="zh-CN"/>
      </w:rPr>
    </w:lvl>
    <w:lvl w:ilvl="7" w:tentative="0">
      <w:start w:val="0"/>
      <w:numFmt w:val="bullet"/>
      <w:lvlText w:val="•"/>
      <w:lvlJc w:val="left"/>
      <w:pPr>
        <w:ind w:left="6530" w:hanging="322"/>
      </w:pPr>
      <w:rPr>
        <w:rFonts w:hint="default"/>
        <w:lang w:val="zh-CN" w:eastAsia="zh-CN" w:bidi="zh-CN"/>
      </w:rPr>
    </w:lvl>
    <w:lvl w:ilvl="8" w:tentative="0">
      <w:start w:val="0"/>
      <w:numFmt w:val="bullet"/>
      <w:lvlText w:val="•"/>
      <w:lvlJc w:val="left"/>
      <w:pPr>
        <w:ind w:left="7448" w:hanging="322"/>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106" w:hanging="481"/>
        <w:jc w:val="left"/>
      </w:pPr>
      <w:rPr>
        <w:rFonts w:hint="default" w:ascii="仿宋_GB2312" w:hAnsi="仿宋_GB2312" w:eastAsia="仿宋_GB2312" w:cs="仿宋_GB2312"/>
        <w:spacing w:val="0"/>
        <w:w w:val="99"/>
        <w:sz w:val="30"/>
        <w:szCs w:val="30"/>
        <w:lang w:val="zh-CN" w:eastAsia="zh-CN" w:bidi="zh-CN"/>
      </w:rPr>
    </w:lvl>
    <w:lvl w:ilvl="1" w:tentative="0">
      <w:start w:val="0"/>
      <w:numFmt w:val="bullet"/>
      <w:lvlText w:val="•"/>
      <w:lvlJc w:val="left"/>
      <w:pPr>
        <w:ind w:left="1018" w:hanging="481"/>
      </w:pPr>
      <w:rPr>
        <w:rFonts w:hint="default"/>
        <w:lang w:val="zh-CN" w:eastAsia="zh-CN" w:bidi="zh-CN"/>
      </w:rPr>
    </w:lvl>
    <w:lvl w:ilvl="2" w:tentative="0">
      <w:start w:val="0"/>
      <w:numFmt w:val="bullet"/>
      <w:lvlText w:val="•"/>
      <w:lvlJc w:val="left"/>
      <w:pPr>
        <w:ind w:left="1937" w:hanging="481"/>
      </w:pPr>
      <w:rPr>
        <w:rFonts w:hint="default"/>
        <w:lang w:val="zh-CN" w:eastAsia="zh-CN" w:bidi="zh-CN"/>
      </w:rPr>
    </w:lvl>
    <w:lvl w:ilvl="3" w:tentative="0">
      <w:start w:val="0"/>
      <w:numFmt w:val="bullet"/>
      <w:lvlText w:val="•"/>
      <w:lvlJc w:val="left"/>
      <w:pPr>
        <w:ind w:left="2855" w:hanging="481"/>
      </w:pPr>
      <w:rPr>
        <w:rFonts w:hint="default"/>
        <w:lang w:val="zh-CN" w:eastAsia="zh-CN" w:bidi="zh-CN"/>
      </w:rPr>
    </w:lvl>
    <w:lvl w:ilvl="4" w:tentative="0">
      <w:start w:val="0"/>
      <w:numFmt w:val="bullet"/>
      <w:lvlText w:val="•"/>
      <w:lvlJc w:val="left"/>
      <w:pPr>
        <w:ind w:left="3774" w:hanging="481"/>
      </w:pPr>
      <w:rPr>
        <w:rFonts w:hint="default"/>
        <w:lang w:val="zh-CN" w:eastAsia="zh-CN" w:bidi="zh-CN"/>
      </w:rPr>
    </w:lvl>
    <w:lvl w:ilvl="5" w:tentative="0">
      <w:start w:val="0"/>
      <w:numFmt w:val="bullet"/>
      <w:lvlText w:val="•"/>
      <w:lvlJc w:val="left"/>
      <w:pPr>
        <w:ind w:left="4693" w:hanging="481"/>
      </w:pPr>
      <w:rPr>
        <w:rFonts w:hint="default"/>
        <w:lang w:val="zh-CN" w:eastAsia="zh-CN" w:bidi="zh-CN"/>
      </w:rPr>
    </w:lvl>
    <w:lvl w:ilvl="6" w:tentative="0">
      <w:start w:val="0"/>
      <w:numFmt w:val="bullet"/>
      <w:lvlText w:val="•"/>
      <w:lvlJc w:val="left"/>
      <w:pPr>
        <w:ind w:left="5611" w:hanging="481"/>
      </w:pPr>
      <w:rPr>
        <w:rFonts w:hint="default"/>
        <w:lang w:val="zh-CN" w:eastAsia="zh-CN" w:bidi="zh-CN"/>
      </w:rPr>
    </w:lvl>
    <w:lvl w:ilvl="7" w:tentative="0">
      <w:start w:val="0"/>
      <w:numFmt w:val="bullet"/>
      <w:lvlText w:val="•"/>
      <w:lvlJc w:val="left"/>
      <w:pPr>
        <w:ind w:left="6530" w:hanging="481"/>
      </w:pPr>
      <w:rPr>
        <w:rFonts w:hint="default"/>
        <w:lang w:val="zh-CN" w:eastAsia="zh-CN" w:bidi="zh-CN"/>
      </w:rPr>
    </w:lvl>
    <w:lvl w:ilvl="8" w:tentative="0">
      <w:start w:val="0"/>
      <w:numFmt w:val="bullet"/>
      <w:lvlText w:val="•"/>
      <w:lvlJc w:val="left"/>
      <w:pPr>
        <w:ind w:left="7448" w:hanging="481"/>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06"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018" w:hanging="322"/>
      </w:pPr>
      <w:rPr>
        <w:rFonts w:hint="default"/>
        <w:lang w:val="zh-CN" w:eastAsia="zh-CN" w:bidi="zh-CN"/>
      </w:rPr>
    </w:lvl>
    <w:lvl w:ilvl="2" w:tentative="0">
      <w:start w:val="0"/>
      <w:numFmt w:val="bullet"/>
      <w:lvlText w:val="•"/>
      <w:lvlJc w:val="left"/>
      <w:pPr>
        <w:ind w:left="1937" w:hanging="322"/>
      </w:pPr>
      <w:rPr>
        <w:rFonts w:hint="default"/>
        <w:lang w:val="zh-CN" w:eastAsia="zh-CN" w:bidi="zh-CN"/>
      </w:rPr>
    </w:lvl>
    <w:lvl w:ilvl="3" w:tentative="0">
      <w:start w:val="0"/>
      <w:numFmt w:val="bullet"/>
      <w:lvlText w:val="•"/>
      <w:lvlJc w:val="left"/>
      <w:pPr>
        <w:ind w:left="2855" w:hanging="322"/>
      </w:pPr>
      <w:rPr>
        <w:rFonts w:hint="default"/>
        <w:lang w:val="zh-CN" w:eastAsia="zh-CN" w:bidi="zh-CN"/>
      </w:rPr>
    </w:lvl>
    <w:lvl w:ilvl="4" w:tentative="0">
      <w:start w:val="0"/>
      <w:numFmt w:val="bullet"/>
      <w:lvlText w:val="•"/>
      <w:lvlJc w:val="left"/>
      <w:pPr>
        <w:ind w:left="3774" w:hanging="322"/>
      </w:pPr>
      <w:rPr>
        <w:rFonts w:hint="default"/>
        <w:lang w:val="zh-CN" w:eastAsia="zh-CN" w:bidi="zh-CN"/>
      </w:rPr>
    </w:lvl>
    <w:lvl w:ilvl="5" w:tentative="0">
      <w:start w:val="0"/>
      <w:numFmt w:val="bullet"/>
      <w:lvlText w:val="•"/>
      <w:lvlJc w:val="left"/>
      <w:pPr>
        <w:ind w:left="4693" w:hanging="322"/>
      </w:pPr>
      <w:rPr>
        <w:rFonts w:hint="default"/>
        <w:lang w:val="zh-CN" w:eastAsia="zh-CN" w:bidi="zh-CN"/>
      </w:rPr>
    </w:lvl>
    <w:lvl w:ilvl="6" w:tentative="0">
      <w:start w:val="0"/>
      <w:numFmt w:val="bullet"/>
      <w:lvlText w:val="•"/>
      <w:lvlJc w:val="left"/>
      <w:pPr>
        <w:ind w:left="5611" w:hanging="322"/>
      </w:pPr>
      <w:rPr>
        <w:rFonts w:hint="default"/>
        <w:lang w:val="zh-CN" w:eastAsia="zh-CN" w:bidi="zh-CN"/>
      </w:rPr>
    </w:lvl>
    <w:lvl w:ilvl="7" w:tentative="0">
      <w:start w:val="0"/>
      <w:numFmt w:val="bullet"/>
      <w:lvlText w:val="•"/>
      <w:lvlJc w:val="left"/>
      <w:pPr>
        <w:ind w:left="6530" w:hanging="322"/>
      </w:pPr>
      <w:rPr>
        <w:rFonts w:hint="default"/>
        <w:lang w:val="zh-CN" w:eastAsia="zh-CN" w:bidi="zh-CN"/>
      </w:rPr>
    </w:lvl>
    <w:lvl w:ilvl="8" w:tentative="0">
      <w:start w:val="0"/>
      <w:numFmt w:val="bullet"/>
      <w:lvlText w:val="•"/>
      <w:lvlJc w:val="left"/>
      <w:pPr>
        <w:ind w:left="7448" w:hanging="322"/>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106" w:hanging="481"/>
        <w:jc w:val="left"/>
      </w:pPr>
      <w:rPr>
        <w:rFonts w:hint="default" w:ascii="仿宋_GB2312" w:hAnsi="仿宋_GB2312" w:eastAsia="仿宋_GB2312" w:cs="仿宋_GB2312"/>
        <w:spacing w:val="0"/>
        <w:w w:val="99"/>
        <w:sz w:val="30"/>
        <w:szCs w:val="30"/>
        <w:lang w:val="zh-CN" w:eastAsia="zh-CN" w:bidi="zh-CN"/>
      </w:rPr>
    </w:lvl>
    <w:lvl w:ilvl="1" w:tentative="0">
      <w:start w:val="0"/>
      <w:numFmt w:val="bullet"/>
      <w:lvlText w:val="•"/>
      <w:lvlJc w:val="left"/>
      <w:pPr>
        <w:ind w:left="1018" w:hanging="481"/>
      </w:pPr>
      <w:rPr>
        <w:rFonts w:hint="default"/>
        <w:lang w:val="zh-CN" w:eastAsia="zh-CN" w:bidi="zh-CN"/>
      </w:rPr>
    </w:lvl>
    <w:lvl w:ilvl="2" w:tentative="0">
      <w:start w:val="0"/>
      <w:numFmt w:val="bullet"/>
      <w:lvlText w:val="•"/>
      <w:lvlJc w:val="left"/>
      <w:pPr>
        <w:ind w:left="1937" w:hanging="481"/>
      </w:pPr>
      <w:rPr>
        <w:rFonts w:hint="default"/>
        <w:lang w:val="zh-CN" w:eastAsia="zh-CN" w:bidi="zh-CN"/>
      </w:rPr>
    </w:lvl>
    <w:lvl w:ilvl="3" w:tentative="0">
      <w:start w:val="0"/>
      <w:numFmt w:val="bullet"/>
      <w:lvlText w:val="•"/>
      <w:lvlJc w:val="left"/>
      <w:pPr>
        <w:ind w:left="2855" w:hanging="481"/>
      </w:pPr>
      <w:rPr>
        <w:rFonts w:hint="default"/>
        <w:lang w:val="zh-CN" w:eastAsia="zh-CN" w:bidi="zh-CN"/>
      </w:rPr>
    </w:lvl>
    <w:lvl w:ilvl="4" w:tentative="0">
      <w:start w:val="0"/>
      <w:numFmt w:val="bullet"/>
      <w:lvlText w:val="•"/>
      <w:lvlJc w:val="left"/>
      <w:pPr>
        <w:ind w:left="3774" w:hanging="481"/>
      </w:pPr>
      <w:rPr>
        <w:rFonts w:hint="default"/>
        <w:lang w:val="zh-CN" w:eastAsia="zh-CN" w:bidi="zh-CN"/>
      </w:rPr>
    </w:lvl>
    <w:lvl w:ilvl="5" w:tentative="0">
      <w:start w:val="0"/>
      <w:numFmt w:val="bullet"/>
      <w:lvlText w:val="•"/>
      <w:lvlJc w:val="left"/>
      <w:pPr>
        <w:ind w:left="4693" w:hanging="481"/>
      </w:pPr>
      <w:rPr>
        <w:rFonts w:hint="default"/>
        <w:lang w:val="zh-CN" w:eastAsia="zh-CN" w:bidi="zh-CN"/>
      </w:rPr>
    </w:lvl>
    <w:lvl w:ilvl="6" w:tentative="0">
      <w:start w:val="0"/>
      <w:numFmt w:val="bullet"/>
      <w:lvlText w:val="•"/>
      <w:lvlJc w:val="left"/>
      <w:pPr>
        <w:ind w:left="5611" w:hanging="481"/>
      </w:pPr>
      <w:rPr>
        <w:rFonts w:hint="default"/>
        <w:lang w:val="zh-CN" w:eastAsia="zh-CN" w:bidi="zh-CN"/>
      </w:rPr>
    </w:lvl>
    <w:lvl w:ilvl="7" w:tentative="0">
      <w:start w:val="0"/>
      <w:numFmt w:val="bullet"/>
      <w:lvlText w:val="•"/>
      <w:lvlJc w:val="left"/>
      <w:pPr>
        <w:ind w:left="6530" w:hanging="481"/>
      </w:pPr>
      <w:rPr>
        <w:rFonts w:hint="default"/>
        <w:lang w:val="zh-CN" w:eastAsia="zh-CN" w:bidi="zh-CN"/>
      </w:rPr>
    </w:lvl>
    <w:lvl w:ilvl="8" w:tentative="0">
      <w:start w:val="0"/>
      <w:numFmt w:val="bullet"/>
      <w:lvlText w:val="•"/>
      <w:lvlJc w:val="left"/>
      <w:pPr>
        <w:ind w:left="7448" w:hanging="481"/>
      </w:pPr>
      <w:rPr>
        <w:rFonts w:hint="default"/>
        <w:lang w:val="zh-CN" w:eastAsia="zh-CN" w:bidi="zh-CN"/>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zQ1MDk5NTc1NmVkYzlkZTAzOTBjNGE4YWZmZTAifQ=="/>
  </w:docVars>
  <w:rsids>
    <w:rsidRoot w:val="00000000"/>
    <w:rsid w:val="0B9266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2" w:right="227"/>
      <w:jc w:val="center"/>
      <w:outlineLvl w:val="1"/>
    </w:pPr>
    <w:rPr>
      <w:rFonts w:ascii="方正小标宋_GBK" w:hAnsi="方正小标宋_GBK" w:eastAsia="方正小标宋_GBK" w:cs="方正小标宋_GBK"/>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06" w:firstLine="640"/>
    </w:pPr>
    <w:rPr>
      <w:rFonts w:ascii="仿宋_GB2312" w:hAnsi="仿宋_GB2312" w:eastAsia="仿宋_GB2312" w:cs="仿宋_GB2312"/>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7967</Words>
  <Characters>8011</Characters>
  <TotalTime>10</TotalTime>
  <ScaleCrop>false</ScaleCrop>
  <LinksUpToDate>false</LinksUpToDate>
  <CharactersWithSpaces>8110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2022-10-10T08:11:00Z</dcterms:created>
  <dc:creator>greatwall</dc:creator>
  <cp:lastModifiedBy>超凶</cp:lastModifiedBy>
  <dcterms:modified xsi:type="dcterms:W3CDTF">2022-10-10T08:22:03Z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2052-11.1.0.12358</vt:lpwstr>
  </property>
  <property fmtid="{D5CDD505-2E9C-101B-9397-08002B2CF9AE}" pid="6" name="ICV">
    <vt:lpwstr>A4C9C61CA3054B7A8D74C0D479EEC219</vt:lpwstr>
  </property>
</Properties>
</file>