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7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4796"/>
        <w:gridCol w:w="207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8769" w:type="dxa"/>
            <w:gridSpan w:val="4"/>
            <w:tcBorders>
              <w:top w:val="nil"/>
              <w:left w:val="nil"/>
              <w:right w:val="nil"/>
            </w:tcBorders>
            <w:shd w:val="clear" w:color="000000" w:fill="FFFFFF"/>
            <w:noWrap w:val="0"/>
            <w:vAlign w:val="bottom"/>
          </w:tcPr>
          <w:p>
            <w:pPr>
              <w:widowControl/>
              <w:jc w:val="center"/>
              <w:rPr>
                <w:rFonts w:hint="eastAsia" w:ascii="方正小标宋_GBK" w:hAnsi="SimSun" w:eastAsia="方正小标宋_GBK" w:cs="Arial"/>
                <w:kern w:val="0"/>
                <w:sz w:val="40"/>
                <w:szCs w:val="40"/>
              </w:rPr>
            </w:pPr>
            <w:bookmarkStart w:id="0" w:name="RANGE!D1:N348"/>
            <w:r>
              <w:rPr>
                <w:rFonts w:hint="eastAsia" w:ascii="方正小标宋_GBK" w:hAnsi="SimSun" w:eastAsia="方正小标宋_GBK" w:cs="Arial"/>
                <w:kern w:val="0"/>
                <w:sz w:val="40"/>
                <w:szCs w:val="40"/>
              </w:rPr>
              <w:t>2019年平顶山市第一批重点建设项目</w:t>
            </w:r>
            <w:bookmarkEnd w:id="0"/>
            <w:r>
              <w:rPr>
                <w:rFonts w:hint="eastAsia" w:ascii="方正小标宋_GBK" w:hAnsi="SimSun" w:eastAsia="方正小标宋_GBK" w:cs="Arial"/>
                <w:kern w:val="0"/>
                <w:sz w:val="40"/>
                <w:szCs w:val="40"/>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633" w:type="dxa"/>
            <w:vMerge w:val="restart"/>
            <w:shd w:val="clear" w:color="000000" w:fill="FFFFFF"/>
            <w:noWrap w:val="0"/>
            <w:vAlign w:val="center"/>
          </w:tcPr>
          <w:p>
            <w:pPr>
              <w:widowControl/>
              <w:spacing w:line="400" w:lineRule="exact"/>
              <w:jc w:val="center"/>
              <w:rPr>
                <w:rFonts w:hint="eastAsia" w:ascii="FangSong_GB2312" w:hAnsi="SimSun" w:cs="Arial"/>
                <w:kern w:val="0"/>
                <w:sz w:val="24"/>
              </w:rPr>
            </w:pPr>
            <w:r>
              <w:rPr>
                <w:rFonts w:hint="eastAsia" w:ascii="FangSong_GB2312" w:hAnsi="SimSun" w:cs="Arial"/>
                <w:kern w:val="0"/>
                <w:sz w:val="24"/>
              </w:rPr>
              <w:t>序号</w:t>
            </w:r>
          </w:p>
        </w:tc>
        <w:tc>
          <w:tcPr>
            <w:tcW w:w="4796" w:type="dxa"/>
            <w:vMerge w:val="restart"/>
            <w:shd w:val="clear" w:color="000000" w:fill="FFFFFF"/>
            <w:noWrap w:val="0"/>
            <w:vAlign w:val="center"/>
          </w:tcPr>
          <w:p>
            <w:pPr>
              <w:widowControl/>
              <w:spacing w:line="400" w:lineRule="exact"/>
              <w:jc w:val="center"/>
              <w:rPr>
                <w:rFonts w:hint="eastAsia" w:ascii="FangSong_GB2312" w:hAnsi="SimSun" w:cs="Arial"/>
                <w:kern w:val="0"/>
                <w:sz w:val="24"/>
              </w:rPr>
            </w:pPr>
            <w:r>
              <w:rPr>
                <w:rFonts w:hint="eastAsia" w:ascii="FangSong_GB2312" w:hAnsi="SimSun" w:cs="Arial"/>
                <w:kern w:val="0"/>
                <w:sz w:val="24"/>
              </w:rPr>
              <w:t>项目名称</w:t>
            </w:r>
          </w:p>
        </w:tc>
        <w:tc>
          <w:tcPr>
            <w:tcW w:w="2075" w:type="dxa"/>
            <w:vMerge w:val="restart"/>
            <w:shd w:val="clear" w:color="000000" w:fill="FFFFFF"/>
            <w:noWrap w:val="0"/>
            <w:vAlign w:val="center"/>
          </w:tcPr>
          <w:p>
            <w:pPr>
              <w:widowControl/>
              <w:spacing w:line="400" w:lineRule="exact"/>
              <w:jc w:val="center"/>
              <w:rPr>
                <w:rFonts w:hint="eastAsia" w:ascii="FangSong_GB2312" w:hAnsi="SimSun" w:cs="Arial"/>
                <w:kern w:val="0"/>
                <w:sz w:val="24"/>
              </w:rPr>
            </w:pPr>
            <w:r>
              <w:rPr>
                <w:rFonts w:hint="eastAsia" w:ascii="FangSong_GB2312" w:hAnsi="SimSun" w:cs="Arial"/>
                <w:kern w:val="0"/>
                <w:sz w:val="24"/>
              </w:rPr>
              <w:t>项目业主</w:t>
            </w:r>
          </w:p>
        </w:tc>
        <w:tc>
          <w:tcPr>
            <w:tcW w:w="1265" w:type="dxa"/>
            <w:vMerge w:val="restart"/>
            <w:shd w:val="clear" w:color="000000" w:fill="FFFFFF"/>
            <w:noWrap w:val="0"/>
            <w:vAlign w:val="center"/>
          </w:tcPr>
          <w:p>
            <w:pPr>
              <w:widowControl/>
              <w:spacing w:line="400" w:lineRule="exact"/>
              <w:jc w:val="center"/>
              <w:rPr>
                <w:rFonts w:hint="eastAsia" w:ascii="FangSong_GB2312" w:hAnsi="SimSun" w:cs="Arial"/>
                <w:kern w:val="0"/>
                <w:sz w:val="24"/>
              </w:rPr>
            </w:pPr>
            <w:r>
              <w:rPr>
                <w:rFonts w:hint="eastAsia" w:ascii="FangSong_GB2312" w:hAnsi="SimSun" w:cs="Arial"/>
                <w:kern w:val="0"/>
                <w:sz w:val="24"/>
              </w:rPr>
              <w:t>所在县</w:t>
            </w:r>
            <w:r>
              <w:rPr>
                <w:rFonts w:hint="eastAsia" w:ascii="FangSong_GB2312" w:hAnsi="SimSun" w:cs="Arial"/>
                <w:kern w:val="0"/>
                <w:sz w:val="24"/>
              </w:rPr>
              <w:br w:type="textWrapping"/>
            </w: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33" w:type="dxa"/>
            <w:vMerge w:val="continue"/>
            <w:tcBorders>
              <w:bottom w:val="single" w:color="auto" w:sz="4" w:space="0"/>
            </w:tcBorders>
            <w:noWrap w:val="0"/>
            <w:vAlign w:val="center"/>
          </w:tcPr>
          <w:p>
            <w:pPr>
              <w:widowControl/>
              <w:spacing w:line="400" w:lineRule="exact"/>
              <w:jc w:val="left"/>
              <w:rPr>
                <w:rFonts w:hint="eastAsia" w:ascii="FangSong_GB2312" w:hAnsi="SimSun" w:cs="Arial"/>
                <w:kern w:val="0"/>
                <w:sz w:val="24"/>
              </w:rPr>
            </w:pPr>
          </w:p>
        </w:tc>
        <w:tc>
          <w:tcPr>
            <w:tcW w:w="4796" w:type="dxa"/>
            <w:vMerge w:val="continue"/>
            <w:tcBorders>
              <w:bottom w:val="single" w:color="auto" w:sz="4" w:space="0"/>
            </w:tcBorders>
            <w:noWrap w:val="0"/>
            <w:vAlign w:val="center"/>
          </w:tcPr>
          <w:p>
            <w:pPr>
              <w:widowControl/>
              <w:spacing w:line="400" w:lineRule="exact"/>
              <w:jc w:val="left"/>
              <w:rPr>
                <w:rFonts w:hint="eastAsia" w:ascii="FangSong_GB2312" w:hAnsi="SimSun" w:cs="Arial"/>
                <w:kern w:val="0"/>
                <w:sz w:val="24"/>
              </w:rPr>
            </w:pPr>
          </w:p>
        </w:tc>
        <w:tc>
          <w:tcPr>
            <w:tcW w:w="2075" w:type="dxa"/>
            <w:vMerge w:val="continue"/>
            <w:tcBorders>
              <w:bottom w:val="single" w:color="auto" w:sz="4" w:space="0"/>
            </w:tcBorders>
            <w:noWrap w:val="0"/>
            <w:vAlign w:val="center"/>
          </w:tcPr>
          <w:p>
            <w:pPr>
              <w:widowControl/>
              <w:spacing w:line="400" w:lineRule="exact"/>
              <w:jc w:val="left"/>
              <w:rPr>
                <w:rFonts w:hint="eastAsia" w:ascii="FangSong_GB2312" w:hAnsi="SimSun" w:cs="Arial"/>
                <w:kern w:val="0"/>
                <w:sz w:val="24"/>
              </w:rPr>
            </w:pPr>
          </w:p>
        </w:tc>
        <w:tc>
          <w:tcPr>
            <w:tcW w:w="1265" w:type="dxa"/>
            <w:vMerge w:val="continue"/>
            <w:tcBorders>
              <w:bottom w:val="single" w:color="auto" w:sz="4" w:space="0"/>
            </w:tcBorders>
            <w:noWrap w:val="0"/>
            <w:vAlign w:val="center"/>
          </w:tcPr>
          <w:p>
            <w:pPr>
              <w:widowControl/>
              <w:spacing w:line="400" w:lineRule="exact"/>
              <w:jc w:val="left"/>
              <w:rPr>
                <w:rFonts w:hint="eastAsia" w:ascii="FangSong_GB2312" w:hAnsi="SimSun"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33" w:type="dxa"/>
            <w:shd w:val="clear" w:color="auto" w:fill="auto"/>
            <w:noWrap w:val="0"/>
            <w:vAlign w:val="center"/>
          </w:tcPr>
          <w:p>
            <w:pPr>
              <w:widowControl/>
              <w:spacing w:line="400" w:lineRule="exact"/>
              <w:jc w:val="center"/>
              <w:outlineLvl w:val="0"/>
              <w:rPr>
                <w:rFonts w:hint="eastAsia" w:ascii="SimHei" w:hAnsi="SimSun" w:eastAsia="SimHei" w:cs="Arial"/>
                <w:kern w:val="0"/>
                <w:sz w:val="24"/>
              </w:rPr>
            </w:pPr>
            <w:r>
              <w:rPr>
                <w:rFonts w:hint="eastAsia" w:ascii="SimHei" w:hAnsi="SimSun" w:eastAsia="SimHei" w:cs="Arial"/>
                <w:kern w:val="0"/>
                <w:sz w:val="24"/>
              </w:rPr>
              <w:t>一</w:t>
            </w:r>
          </w:p>
        </w:tc>
        <w:tc>
          <w:tcPr>
            <w:tcW w:w="4796" w:type="dxa"/>
            <w:shd w:val="clear" w:color="auto" w:fill="auto"/>
            <w:noWrap w:val="0"/>
            <w:vAlign w:val="center"/>
          </w:tcPr>
          <w:p>
            <w:pPr>
              <w:widowControl/>
              <w:spacing w:line="400" w:lineRule="exact"/>
              <w:jc w:val="left"/>
              <w:outlineLvl w:val="0"/>
              <w:rPr>
                <w:rFonts w:hint="eastAsia" w:ascii="SimHei" w:hAnsi="SimSun" w:eastAsia="SimHei" w:cs="Arial"/>
                <w:kern w:val="0"/>
                <w:sz w:val="24"/>
              </w:rPr>
            </w:pPr>
            <w:r>
              <w:rPr>
                <w:rFonts w:hint="eastAsia" w:ascii="SimHei" w:hAnsi="SimSun" w:eastAsia="SimHei" w:cs="Arial"/>
                <w:kern w:val="0"/>
                <w:sz w:val="24"/>
              </w:rPr>
              <w:t>计划建成项目</w:t>
            </w:r>
          </w:p>
        </w:tc>
        <w:tc>
          <w:tcPr>
            <w:tcW w:w="2075" w:type="dxa"/>
            <w:shd w:val="clear" w:color="auto" w:fill="auto"/>
            <w:noWrap w:val="0"/>
            <w:vAlign w:val="center"/>
          </w:tcPr>
          <w:p>
            <w:pPr>
              <w:widowControl/>
              <w:spacing w:line="400" w:lineRule="exact"/>
              <w:jc w:val="left"/>
              <w:outlineLvl w:val="0"/>
              <w:rPr>
                <w:rFonts w:hint="eastAsia" w:ascii="FangSong_GB2312" w:hAnsi="SimSun" w:cs="Arial"/>
                <w:kern w:val="0"/>
                <w:sz w:val="24"/>
              </w:rPr>
            </w:pPr>
            <w:r>
              <w:rPr>
                <w:rFonts w:hint="eastAsia" w:ascii="FangSong_GB2312" w:hAnsi="SimSun" w:cs="Arial"/>
                <w:kern w:val="0"/>
                <w:sz w:val="24"/>
              </w:rPr>
              <w:t>　</w:t>
            </w:r>
          </w:p>
        </w:tc>
        <w:tc>
          <w:tcPr>
            <w:tcW w:w="1265" w:type="dxa"/>
            <w:shd w:val="clear" w:color="auto" w:fill="auto"/>
            <w:noWrap w:val="0"/>
            <w:vAlign w:val="center"/>
          </w:tcPr>
          <w:p>
            <w:pPr>
              <w:widowControl/>
              <w:spacing w:line="400" w:lineRule="exact"/>
              <w:jc w:val="center"/>
              <w:outlineLvl w:val="0"/>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33" w:type="dxa"/>
            <w:shd w:val="clear" w:color="auto"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auto"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农业项目</w:t>
            </w:r>
          </w:p>
        </w:tc>
        <w:tc>
          <w:tcPr>
            <w:tcW w:w="2075" w:type="dxa"/>
            <w:shd w:val="clear" w:color="auto"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auto"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郏县北汝河生态水系项目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郏县水利局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郏县凤凰山生态农业产业园项目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郏县冢头镇远航实业有限公司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郏县康迪农牧林开发有限公司种养一体化项目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郏县康迪农牧林开发有限公司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004</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平顶山瑞海牧业有限公司肉牛养殖项目 </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平顶山瑞海牧业有限公司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633" w:type="dxa"/>
            <w:shd w:val="clear" w:color="000000" w:fill="auto"/>
            <w:noWrap w:val="0"/>
            <w:vAlign w:val="center"/>
          </w:tcPr>
          <w:p>
            <w:pPr>
              <w:widowControl/>
              <w:spacing w:line="400" w:lineRule="exact"/>
              <w:jc w:val="center"/>
              <w:outlineLvl w:val="1"/>
              <w:rPr>
                <w:rFonts w:hint="eastAsia" w:ascii="KaiTi_GB2312" w:hAnsi="SimSun" w:eastAsia="KaiTi_GB2312" w:cs="Arial"/>
                <w:kern w:val="0"/>
                <w:sz w:val="24"/>
              </w:rPr>
            </w:pPr>
            <w:r>
              <w:rPr>
                <w:rFonts w:hint="eastAsia" w:ascii="KaiTi_GB2312" w:hAnsi="SimSun" w:eastAsia="KaiTi_GB2312"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工业项目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河南通盛电力设备股份有限公司年产8万吨电力杆塔及5万吨桥梁钢结构项目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河南通盛电力设备股份有限公司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舞钢市硕基实业有限公司年产锂电池轧机150套及年产矿用数控激光熔覆设备300台项目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舞钢市硕基实业有限公司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舞钢远铭机械有限公司数控机床制造项目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舞钢远铭机械有限公司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舞钢市玖行重工有限公司年5台炼钢转炉生产项目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舞钢市玖行重工有限公司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009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河南金基业重工有限公司年产200台隧道钢模台车项目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河南金基业重工有限公司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布加顿服饰科技有限公司年产3000万双袜子建设项目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布加顿服饰科技有限公司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河南中材环保有限公司高端环保装备产业化项目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河南中材环保有限公司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平顶山众山包装有限公司年产一亿套新型环保包装材料项目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平顶山众山包装有限公司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郏县华恩利热能有限公司年产5000套各类供热系列产品项目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郏县华恩利热能有限公司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郏县渣园乡发电机组产业园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郏县金居宜机电设备有限公司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平顶山华峰电气有限公司变压器铁芯升级改造项目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平顶山华峰电气有限公司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平顶山圣唐新材料有限公司年产400万平方SPC新型建材项目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平顶山圣唐新材料有限公司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郏县中蔼制衣有限公司年产10万套服饰生产线项目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郏县中蔼制衣有限公司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鼎铭轨道科技有限公司年产10万套高铁刹车片、信号灯及变压器生产线项目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鼎铭轨道科技有限公司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019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河南永伟医药科技有限公司保健用品、消毒用品研究及生产线项目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河南永伟医药科技有限公司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平顶山市鑫涛新型建材有限公司新型装配式住宅材料生产线项目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市鑫涛新型建材有限公司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平顶山铭志电子科技公司智能终端项目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平顶山铭志电子科技公司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平顶山市豫尧塑胶有限公司塑料制品生产线项目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市豫尧塑胶有限公司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平顶山市博顿生物科技有限公司生物质秸秆成型燃料及碳基肥生产线项目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市博顿生物科技有限公司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平顶山市启航智控电器设备有限公司年产1.5万套智控高压开关设备项目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市启航智控电器设备有限公司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平顶山市东丽华实业有限公司防眩光玻璃生产线建设项目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市东丽华实业有限公司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平顶山神马帘子布发展有限公司年产4万吨尼龙66差异化工业丝项目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平顶山神马帘子布发展有限公司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河南神马催化科技有限公司催化剂生产研发中心项目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河南神马催化科技有限公司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河南中峰集团纸业有限公司年产15万吨牛皮挂面箱板纸项目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河南中峰集团纸业有限公司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029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河南维泰农牧有限公司肉羊肉牛养殖屠宰分割深加工项目 </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河南维泰农牧有限公司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河南光润精密制造有限公司金刚线生产项目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河南光润精密制造有限公司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河南中鸿集团煤化有限公司焦炉烟气脱硝及脱白综合治理项目 </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河南中鸿集团煤化有限公司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平顶山市大玉工贸有限公司年产15万吨陶瓷釉料加工项目 </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市大玉工贸有限公司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大庄矿实业公司年产100万吨煤泥循环利用项目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大庄矿实业公司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034</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河南跃薪智能机械有限公司智能矿山机械生产线制造项目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河南跃薪智能机械有限公司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633" w:type="dxa"/>
            <w:shd w:val="clear" w:color="000000" w:fill="auto"/>
            <w:noWrap w:val="0"/>
            <w:vAlign w:val="center"/>
          </w:tcPr>
          <w:p>
            <w:pPr>
              <w:widowControl/>
              <w:spacing w:line="400" w:lineRule="exact"/>
              <w:jc w:val="center"/>
              <w:outlineLvl w:val="1"/>
              <w:rPr>
                <w:rFonts w:hint="eastAsia" w:ascii="KaiTi_GB2312" w:hAnsi="SimSun" w:eastAsia="KaiTi_GB2312" w:cs="Arial"/>
                <w:kern w:val="0"/>
                <w:sz w:val="24"/>
              </w:rPr>
            </w:pPr>
            <w:r>
              <w:rPr>
                <w:rFonts w:hint="eastAsia" w:ascii="KaiTi_GB2312" w:hAnsi="SimSun" w:eastAsia="KaiTi_GB2312"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能源项目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鲁山县分散式风电场项目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河南平煤北控清洁能源有限公司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鲁山县银岭风电场项目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华润新能源投资有限公司河南分公司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鲁山县四棵树分散式风电场项目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鲁山县汝风新能源科技有限公司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鲁山县观音寺乡风力电站项目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河南雅高新能源有限公司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039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叶县将军山风电场项目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叶县将军山新能源有限公司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叶县大石崖风电场项目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叶县国博大石崖风力发电有限公司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叶县保安风电场项目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中电工程公司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叶县润阳风电场项目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华润新能源公司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叶县朝阳风电场项目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华润新能源公司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044</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叶县保安分散式风电场项目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平顶山德润新能源有限公司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633" w:type="dxa"/>
            <w:shd w:val="clear" w:color="000000" w:fill="auto"/>
            <w:noWrap w:val="0"/>
            <w:vAlign w:val="center"/>
          </w:tcPr>
          <w:p>
            <w:pPr>
              <w:widowControl/>
              <w:spacing w:line="400" w:lineRule="exact"/>
              <w:jc w:val="center"/>
              <w:outlineLvl w:val="1"/>
              <w:rPr>
                <w:rFonts w:hint="eastAsia" w:ascii="KaiTi_GB2312" w:hAnsi="SimSun" w:eastAsia="KaiTi_GB2312" w:cs="Arial"/>
                <w:kern w:val="0"/>
                <w:sz w:val="24"/>
              </w:rPr>
            </w:pPr>
            <w:r>
              <w:rPr>
                <w:rFonts w:hint="eastAsia" w:ascii="KaiTi_GB2312" w:hAnsi="SimSun" w:eastAsia="KaiTi_GB2312"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交通项目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周南高速公路舞钢段建设项目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河南宛龙高速公路有限公司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舞钢市新能源公交车置换及充电场站建设项目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舞钢市公交公司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鲁宝快速通道鲁山段建设项目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鲁山县交通运输局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省道520郏汝线石龙区境段寨至国道207段新建工程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石龙区公路管理局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049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郑万高铁（平顶山境）</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中国铁路总公司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050</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沙河复航平顶山段项目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市地方海事局</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城建项目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舞钢市智慧城市项目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舞钢市城乡开发投资有限公司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宝丰县君文国家湿地公园治理项目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河南碧水源生态科技有限公司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平顶山生活垃圾焚烧热电联产项目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平顶山中电环保发电有限公司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郏县全钰再生资源有限公司生活垃圾处理项目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郏县全钰再生资源有限公司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将相河水污染治理及湿地建设工程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鲁山县住房和城乡建设局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叶县化工滨河新型社区建设项目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平顶山中房建设集团有限公司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平顶山市城市生活垃圾焚烧发电项目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中节能（平顶山）环保能源有限公司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原审计局地块旧城改造项目（冠瑞·财富广场）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河南省冠瑞集团房地产开发有限公司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059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新华区武庄新村改造项目二期（盛世御源）</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市明骏房地产开发公司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卫东区原纺织厂旧址改造项目（宏升国际）</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平顶山宏升房地产开发有限公司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卫东区原化纤厂区域改造项目（豫森·公馆一期）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市瀚海置业有限公司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卫东区陈家岗下牛三组改造项目（天安名郡一期）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河南天郡置业有限公司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湛河区北渡村城中村改造碧桂园小区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平顶山广鹰置业有限公司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湛河区平安驾校旧城改造平安景苑项目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市鹰骏房地产开发有限公司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湛河区岳庄村城中村改造大乘·领仕馆项目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河南大乘置业有限公司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湛河区叶刘村城中村改造惠泽园万象新天项目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河南益宏嘉业置业有限公司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恒大御景半岛</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平顶山御景半岛置业有限公司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068</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高新区任庄安置区项目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市东部投资有限公司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服务业项目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069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舞钢市万山红旅游开发建设项目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舞钢市万山红旅游开发有限公司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舞钢市建业百城天地</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舞钢建业至尊房地产有限公司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舞钢市南山生态示范园建设项目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舞钢盛元牧业有限公司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郏县高铁站区商务区建设项目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郏县政府</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平顶山名门城市商务区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名门地产（平顶山）有限公司   </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平顶山市合一康生物科技试验研发基地项目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市合一康生物科技有限公司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075</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高新区创新创业（科研）公共服务中心项目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市东部城市建设有限公司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社会事业项目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郏县人民医院医养结合项目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郏县卫生和计划生育委员会</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鲁山县人民医院新院区建设项目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鲁山县人民医院</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叶县中医院病房楼项目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叶县卫生和计划生育委员会</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079</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平顶山市第三人民医院综合病房楼</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市第三人民医院</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33" w:type="dxa"/>
            <w:shd w:val="clear" w:color="auto" w:fill="auto"/>
            <w:noWrap w:val="0"/>
            <w:vAlign w:val="center"/>
          </w:tcPr>
          <w:p>
            <w:pPr>
              <w:widowControl/>
              <w:spacing w:line="400" w:lineRule="exact"/>
              <w:outlineLvl w:val="0"/>
              <w:rPr>
                <w:rFonts w:hint="eastAsia" w:ascii="SimHei" w:hAnsi="SimSun" w:eastAsia="SimHei" w:cs="Arial"/>
                <w:kern w:val="0"/>
                <w:sz w:val="24"/>
              </w:rPr>
            </w:pPr>
            <w:r>
              <w:rPr>
                <w:rFonts w:hint="eastAsia" w:ascii="SimHei" w:hAnsi="SimSun" w:eastAsia="SimHei" w:cs="Arial"/>
                <w:kern w:val="0"/>
                <w:sz w:val="24"/>
              </w:rPr>
              <w:t>二　</w:t>
            </w:r>
          </w:p>
        </w:tc>
        <w:tc>
          <w:tcPr>
            <w:tcW w:w="4796" w:type="dxa"/>
            <w:shd w:val="clear" w:color="auto" w:fill="auto"/>
            <w:noWrap w:val="0"/>
            <w:vAlign w:val="center"/>
          </w:tcPr>
          <w:p>
            <w:pPr>
              <w:widowControl/>
              <w:spacing w:line="400" w:lineRule="exact"/>
              <w:jc w:val="left"/>
              <w:outlineLvl w:val="0"/>
              <w:rPr>
                <w:rFonts w:hint="eastAsia" w:ascii="SimHei" w:hAnsi="SimSun" w:eastAsia="SimHei" w:cs="Arial"/>
                <w:kern w:val="0"/>
                <w:sz w:val="24"/>
              </w:rPr>
            </w:pPr>
            <w:r>
              <w:rPr>
                <w:rFonts w:hint="eastAsia" w:ascii="SimHei" w:hAnsi="SimSun" w:eastAsia="SimHei" w:cs="Arial"/>
                <w:kern w:val="0"/>
                <w:sz w:val="24"/>
              </w:rPr>
              <w:t>续建项目</w:t>
            </w:r>
          </w:p>
        </w:tc>
        <w:tc>
          <w:tcPr>
            <w:tcW w:w="2075" w:type="dxa"/>
            <w:shd w:val="clear" w:color="auto" w:fill="auto"/>
            <w:noWrap w:val="0"/>
            <w:vAlign w:val="center"/>
          </w:tcPr>
          <w:p>
            <w:pPr>
              <w:widowControl/>
              <w:spacing w:line="400" w:lineRule="exact"/>
              <w:jc w:val="left"/>
              <w:outlineLvl w:val="0"/>
              <w:rPr>
                <w:rFonts w:hint="eastAsia" w:ascii="FangSong_GB2312" w:hAnsi="SimSun" w:cs="Arial"/>
                <w:kern w:val="0"/>
                <w:sz w:val="24"/>
              </w:rPr>
            </w:pPr>
            <w:r>
              <w:rPr>
                <w:rFonts w:hint="eastAsia" w:ascii="FangSong_GB2312" w:hAnsi="SimSun" w:cs="Arial"/>
                <w:kern w:val="0"/>
                <w:sz w:val="24"/>
              </w:rPr>
              <w:t>　</w:t>
            </w:r>
          </w:p>
        </w:tc>
        <w:tc>
          <w:tcPr>
            <w:tcW w:w="1265" w:type="dxa"/>
            <w:shd w:val="clear" w:color="auto" w:fill="auto"/>
            <w:noWrap w:val="0"/>
            <w:vAlign w:val="center"/>
          </w:tcPr>
          <w:p>
            <w:pPr>
              <w:widowControl/>
              <w:spacing w:line="400" w:lineRule="exact"/>
              <w:jc w:val="center"/>
              <w:outlineLvl w:val="0"/>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33" w:type="dxa"/>
            <w:shd w:val="clear" w:color="auto"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auto"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农业项目</w:t>
            </w:r>
          </w:p>
        </w:tc>
        <w:tc>
          <w:tcPr>
            <w:tcW w:w="2075" w:type="dxa"/>
            <w:shd w:val="clear" w:color="auto"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auto"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河南康龙实业集团有限公司现代生态农业暨废弃物资源化利用示范区项目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河南康龙实业集团有限公司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平顶山市顺义养殖有限公司宝丰顺义有机农业循环园区项目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市顺义养殖有限公司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宝丰县生态廊道绿化建设项目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宝丰县政府</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宝丰县天之润田园综合体项目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宝丰县天之润农林科技开发有限公司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郏县一家亲红薯种植专业合作社优质红薯深加工项目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郏县一家亲红薯种植专业合作社</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郏县云前山红牛养殖项目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河南禾牛农业科技开发有限公司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沙河生态修复与提升项目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鲁山县水利局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087</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平顶山市国家储备林基地建设项目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市林业局</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工业项目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舞阳钢铁有限责任公司4.3米宽厚板轧机生产线升级改造工程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089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宝丰县圣诺陶瓷有限公司综合利用焦炉煤气年产7000万平方米陶瓷薄板及高档陶瓷墙地砖建设项目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宝丰县圣诺陶瓷有限公司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河南海星化工科技有限公司10万/年吨针状焦项目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河南海星化工科技有限公司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河南丰辉不锈钢科技有限公司年产15万吨精密不锈钢薄板及制品项目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河南丰辉不锈钢科技有限公司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宝丰县五星石墨有限公司年产2000吨超细结构各向同性高纯石墨新材料项目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宝丰县五星石墨有限公司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广东沐捷集团河南京鲸智能热水器生产制造项目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广东沐捷集团河南京鲸智能电器有限公司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河南倍特轴承有限公司年产1000万套轴承生产线项目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河南倍特轴承有限公司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郏县电子产业智能制造园项目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河南乐信智佳电子科技有限公司  </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郏县众合建材有限公司绿色装备式建材及蒸压加气墙板生产项目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郏县众合建材有限公司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河南中欧桥梁设备制造有限公司年产5万吨桥梁设备生产项目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河南中欧桥梁设备制造有限公司有限公司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平顶山市尼龙产业园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平顶山尼龙新材料产业集聚区管委会</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099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中国平煤神马集团尼龙科技有限公司己内酰胺二期暨升级改造项目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中国平煤神马集团尼龙科技有限公司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河南神马锦纶科技有限公司10万吨/年尼龙6民用丝项目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河南神马锦纶科技有限公司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中国平煤神马集团尼龙科技有限公司年产15万吨环己酮项目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中国平煤神马集团尼龙科技有限公司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平顶山三信织造有限公司粘扣带项目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平顶山三信织造有限公司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河南国碳纳米科技有限公司年产1000吨碳纳米管和300吨石墨烯项目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河南国碳纳米科技有限公司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河南恒瑞集团年产280万千米金刚石切割线锯项目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河南恒瑞集团</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河南徽汝瓷业集团公司年产1.5万件汝瓷制品项目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河南徽汝瓷业集团公司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伊顿产业园一期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市东部城市建设有限公司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平顶山同信环保科技有限公司装备制造项目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平顶山同信环保科技有限公司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河南平芝公司智能工厂及平高输配电产业研发技术改造配套项目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河南平芝高压开关有限公司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109</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龙腾高科技发展有限公司电线电缆生产制造项目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龙腾高科技发展有限公司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能源项目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平顶山供电公司110千伏输变电工程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平顶山供电公司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111</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平顶山供电公司220千伏输变电工程</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平顶山供电公司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交通项目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S327舞钢段大修工程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舞钢市交通运输局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郑西高速鲁山段建设项目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省收费还贷高速公路管理有限公司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G234兴阳线叶县城区段改建项目（东环路东移）</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叶县交通运输局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叶县辛店-常村扶贫道路项目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叶县交通运输局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S228卫新线叶县段（洪辛线升级）</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叶县交通运输局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S233焦桐线宝丰周庄至鲁山张良镇段改建工程 （大西环）</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市公路局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118</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S232云叶线平顶山北渡镇至叶县孙娄庄段改建工程（平叶快速通道）</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市公路局</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城建项目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119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河南省百城建设提质舞钢试点工程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舞钢市政府</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舞钢市商务中心区薄冲棚户区改造项目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舞钢市城乡开发建设投资有限公司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633" w:type="dxa"/>
            <w:shd w:val="clear" w:color="000000" w:fill="FFFFFF"/>
            <w:noWrap w:val="0"/>
            <w:vAlign w:val="center"/>
          </w:tcPr>
          <w:p>
            <w:pPr>
              <w:widowControl/>
              <w:spacing w:line="400" w:lineRule="exact"/>
              <w:outlineLvl w:val="2"/>
              <w:rPr>
                <w:rFonts w:hint="eastAsia" w:ascii="FangSong_GB2312" w:hAnsi="SimSun" w:cs="Arial"/>
                <w:kern w:val="0"/>
                <w:sz w:val="24"/>
              </w:rPr>
            </w:pPr>
            <w:r>
              <w:rPr>
                <w:rFonts w:hint="eastAsia" w:ascii="FangSong_GB2312" w:hAnsi="SimSun" w:cs="Arial"/>
                <w:kern w:val="0"/>
                <w:sz w:val="24"/>
              </w:rPr>
              <w:t>121</w:t>
            </w:r>
          </w:p>
        </w:tc>
        <w:tc>
          <w:tcPr>
            <w:tcW w:w="4796" w:type="dxa"/>
            <w:shd w:val="clear" w:color="auto" w:fill="auto"/>
            <w:noWrap/>
            <w:vAlign w:val="center"/>
          </w:tcPr>
          <w:p>
            <w:pPr>
              <w:widowControl/>
              <w:outlineLvl w:val="2"/>
              <w:rPr>
                <w:rFonts w:hint="eastAsia" w:ascii="FangSong_GB2312" w:hAnsi="SimSun" w:cs="Arial"/>
                <w:kern w:val="0"/>
                <w:sz w:val="24"/>
              </w:rPr>
            </w:pPr>
            <w:r>
              <w:rPr>
                <w:rFonts w:hint="eastAsia" w:ascii="FangSong_GB2312" w:hAnsi="SimSun" w:cs="Arial"/>
                <w:kern w:val="0"/>
                <w:sz w:val="24"/>
              </w:rPr>
              <w:drawing>
                <wp:anchor distT="0" distB="0" distL="114300" distR="114300" simplePos="0" relativeHeight="251663360"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7" name="未知 2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42" name="Text Box 1550"/>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64384"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8" name="未知 2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43" name="Text Box 29093"/>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65408"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9" name="未知 2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44" name="Text Box 2367"/>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66432"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0" name="未知 3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45" name="Text Box 1550"/>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67456"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1" name="未知 3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46" name="Text Box 29093"/>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68480"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2" name="未知 3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47" name="Text Box 2367"/>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69504"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3" name="未知 3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48" name="Text Box 1550"/>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0528"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 name="未知 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49" name="Text Box 29093"/>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1552"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 name="未知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50" name="Text Box 2367"/>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2576"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6" name="未知 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51" name="Text Box 1550"/>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3600"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5" name="未知 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52" name="Text Box 1550"/>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4624"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4" name="未知 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53" name="Text Box 29093"/>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5648"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7" name="未知 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54" name="Text Box 2367"/>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 name="未知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55" name="Text Box 1550"/>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8" name="未知 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56" name="Text Box 29093"/>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8720"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9" name="未知 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57" name="Text Box 2367"/>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79744"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0" name="未知 1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58" name="Text Box 1550"/>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0768"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1" name="未知 1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59" name="Text Box 29093"/>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1792"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2" name="未知 1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60" name="Text Box 2367"/>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2816"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3" name="未知 1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61" name="Text Box 1550"/>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3840"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4" name="未知 1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62" name="Text Box 1550"/>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4864"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5" name="未知 1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63" name="Text Box 29093"/>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5888"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6" name="未知 1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3731700"/>
                            <a:chOff x="2981325" y="83105625"/>
                            <a:chExt cx="103323" cy="3731700"/>
                          </a:xfrm>
                        </a:grpSpPr>
                        <a:sp>
                          <a:nvSpPr>
                            <a:cNvPr id="64" name="Text Box 2367"/>
                            <a:cNvSpPr txBox="1">
                              <a:spLocks noChangeArrowheads="1"/>
                            </a:cNvSpPr>
                          </a:nvSpPr>
                          <a:spPr bwMode="auto">
                            <a:xfrm>
                              <a:off x="3268980" y="84932520"/>
                              <a:ext cx="103323"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6912"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7" name="未知 1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65" name="Text Box 1550"/>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7936"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8" name="未知 1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66" name="Text Box 29093"/>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8960"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19" name="未知 1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67" name="Text Box 2367"/>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89984"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0" name="未知 2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68" name="Text Box 1550"/>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1008"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1" name="未知 2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69" name="Text Box 29093"/>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2032"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2" name="未知 2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103323" cy="4195196"/>
                            <a:chOff x="2981325" y="83105625"/>
                            <a:chExt cx="103323" cy="4195196"/>
                          </a:xfrm>
                        </a:grpSpPr>
                        <a:sp>
                          <a:nvSpPr>
                            <a:cNvPr id="70" name="Text Box 2367"/>
                            <a:cNvSpPr txBox="1">
                              <a:spLocks noChangeArrowheads="1"/>
                            </a:cNvSpPr>
                          </a:nvSpPr>
                          <a:spPr bwMode="auto">
                            <a:xfrm>
                              <a:off x="3268980" y="84932520"/>
                              <a:ext cx="103323"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3056"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3" name="未知 2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3731700"/>
                            <a:chOff x="2981325" y="83105625"/>
                            <a:chExt cx="99060" cy="3731700"/>
                          </a:xfrm>
                        </a:grpSpPr>
                        <a:sp>
                          <a:nvSpPr>
                            <a:cNvPr id="71" name="Text Box 1550"/>
                            <a:cNvSpPr txBox="1">
                              <a:spLocks noChangeArrowheads="1"/>
                            </a:cNvSpPr>
                          </a:nvSpPr>
                          <a:spPr bwMode="auto">
                            <a:xfrm>
                              <a:off x="4229100" y="84932520"/>
                              <a:ext cx="99060"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4080"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4" name="未知 2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3731700"/>
                            <a:chOff x="2981325" y="83105625"/>
                            <a:chExt cx="99060" cy="3731700"/>
                          </a:xfrm>
                        </a:grpSpPr>
                        <a:sp>
                          <a:nvSpPr>
                            <a:cNvPr id="72" name="Text Box 29093"/>
                            <a:cNvSpPr txBox="1">
                              <a:spLocks noChangeArrowheads="1"/>
                            </a:cNvSpPr>
                          </a:nvSpPr>
                          <a:spPr bwMode="auto">
                            <a:xfrm>
                              <a:off x="4229100" y="84932520"/>
                              <a:ext cx="99060"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5104"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5" name="未知 2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3731700"/>
                            <a:chOff x="2981325" y="83105625"/>
                            <a:chExt cx="99060" cy="3731700"/>
                          </a:xfrm>
                        </a:grpSpPr>
                        <a:sp>
                          <a:nvSpPr>
                            <a:cNvPr id="73" name="Text Box 2367"/>
                            <a:cNvSpPr txBox="1">
                              <a:spLocks noChangeArrowheads="1"/>
                            </a:cNvSpPr>
                          </a:nvSpPr>
                          <a:spPr bwMode="auto">
                            <a:xfrm>
                              <a:off x="4229100" y="84932520"/>
                              <a:ext cx="99060" cy="3760275"/>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6128"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26" name="未知 2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4195196"/>
                            <a:chOff x="2981325" y="83105625"/>
                            <a:chExt cx="99060" cy="4195196"/>
                          </a:xfrm>
                        </a:grpSpPr>
                        <a:sp>
                          <a:nvSpPr>
                            <a:cNvPr id="74" name="Text Box 1550"/>
                            <a:cNvSpPr txBox="1">
                              <a:spLocks noChangeArrowheads="1"/>
                            </a:cNvSpPr>
                          </a:nvSpPr>
                          <a:spPr bwMode="auto">
                            <a:xfrm>
                              <a:off x="4229100" y="84932520"/>
                              <a:ext cx="99060"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7152"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4" name="未知 3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4195196"/>
                            <a:chOff x="2981325" y="83105625"/>
                            <a:chExt cx="99060" cy="4195196"/>
                          </a:xfrm>
                        </a:grpSpPr>
                        <a:sp>
                          <a:nvSpPr>
                            <a:cNvPr id="75" name="Text Box 29093"/>
                            <a:cNvSpPr txBox="1">
                              <a:spLocks noChangeArrowheads="1"/>
                            </a:cNvSpPr>
                          </a:nvSpPr>
                          <a:spPr bwMode="auto">
                            <a:xfrm>
                              <a:off x="4229100" y="84932520"/>
                              <a:ext cx="99060"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8176"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5" name="未知 3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4195196"/>
                            <a:chOff x="2981325" y="83105625"/>
                            <a:chExt cx="99060" cy="4195196"/>
                          </a:xfrm>
                        </a:grpSpPr>
                        <a:sp>
                          <a:nvSpPr>
                            <a:cNvPr id="76" name="Text Box 2367"/>
                            <a:cNvSpPr txBox="1">
                              <a:spLocks noChangeArrowheads="1"/>
                            </a:cNvSpPr>
                          </a:nvSpPr>
                          <a:spPr bwMode="auto">
                            <a:xfrm>
                              <a:off x="4229100" y="84932520"/>
                              <a:ext cx="99060"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699200"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6" name="未知 3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4195196"/>
                            <a:chOff x="2981325" y="83105625"/>
                            <a:chExt cx="99060" cy="4195196"/>
                          </a:xfrm>
                        </a:grpSpPr>
                        <a:sp>
                          <a:nvSpPr>
                            <a:cNvPr id="77" name="Text Box 1550"/>
                            <a:cNvSpPr txBox="1">
                              <a:spLocks noChangeArrowheads="1"/>
                            </a:cNvSpPr>
                          </a:nvSpPr>
                          <a:spPr bwMode="auto">
                            <a:xfrm>
                              <a:off x="4229100" y="84932520"/>
                              <a:ext cx="99060"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700224"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7" name="未知 3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4195196"/>
                            <a:chOff x="2981325" y="83105625"/>
                            <a:chExt cx="99060" cy="4195196"/>
                          </a:xfrm>
                        </a:grpSpPr>
                        <a:sp>
                          <a:nvSpPr>
                            <a:cNvPr id="78" name="Text Box 29093"/>
                            <a:cNvSpPr txBox="1">
                              <a:spLocks noChangeArrowheads="1"/>
                            </a:cNvSpPr>
                          </a:nvSpPr>
                          <a:spPr bwMode="auto">
                            <a:xfrm>
                              <a:off x="4229100" y="84932520"/>
                              <a:ext cx="99060"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701248"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8" name="未知 3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9060" cy="4195196"/>
                            <a:chOff x="2981325" y="83105625"/>
                            <a:chExt cx="99060" cy="4195196"/>
                          </a:xfrm>
                        </a:grpSpPr>
                        <a:sp>
                          <a:nvSpPr>
                            <a:cNvPr id="79" name="Text Box 2367"/>
                            <a:cNvSpPr txBox="1">
                              <a:spLocks noChangeArrowheads="1"/>
                            </a:cNvSpPr>
                          </a:nvSpPr>
                          <a:spPr bwMode="auto">
                            <a:xfrm>
                              <a:off x="4229100" y="84932520"/>
                              <a:ext cx="99060" cy="4229487"/>
                            </a:xfrm>
                            <a:prstGeom prst="rect">
                              <a:avLst/>
                            </a:prstGeom>
                            <a:noFill/>
                            <a:ln>
                              <a:noFill/>
                            </a:ln>
                          </a:spPr>
                        </a:sp>
                      </lc:lockedCanvas>
                    </a:graphicData>
                  </a:graphic>
                </wp:anchor>
              </w:drawing>
            </w:r>
            <w:r>
              <w:rPr>
                <w:rFonts w:hint="eastAsia" w:ascii="FangSong_GB2312" w:hAnsi="SimSun" w:cs="Arial"/>
                <w:kern w:val="0"/>
                <w:sz w:val="24"/>
              </w:rPr>
              <w:drawing>
                <wp:anchor distT="0" distB="0" distL="114300" distR="114300" simplePos="0" relativeHeight="251702272" behindDoc="0" locked="0" layoutInCell="1" allowOverlap="1">
                  <wp:simplePos x="0" y="0"/>
                  <wp:positionH relativeFrom="column">
                    <wp:posOffset>2171700</wp:posOffset>
                  </wp:positionH>
                  <wp:positionV relativeFrom="paragraph">
                    <wp:posOffset>647700</wp:posOffset>
                  </wp:positionV>
                  <wp:extent cx="635" cy="0"/>
                  <wp:effectExtent l="0" t="0" r="0" b="0"/>
                  <wp:wrapNone/>
                  <wp:docPr id="39" name="未知 3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2981325" y="83105625"/>
                            <a:ext cx="91440" cy="4195196"/>
                            <a:chOff x="2981325" y="83105625"/>
                            <a:chExt cx="91440" cy="4195196"/>
                          </a:xfrm>
                        </a:grpSpPr>
                        <a:sp>
                          <a:nvSpPr>
                            <a:cNvPr id="80" name="Text Box 1550"/>
                            <a:cNvSpPr txBox="1">
                              <a:spLocks noChangeArrowheads="1"/>
                            </a:cNvSpPr>
                          </a:nvSpPr>
                          <a:spPr bwMode="auto">
                            <a:xfrm>
                              <a:off x="3886200" y="84932520"/>
                              <a:ext cx="91440" cy="4229487"/>
                            </a:xfrm>
                            <a:prstGeom prst="rect">
                              <a:avLst/>
                            </a:prstGeom>
                            <a:noFill/>
                            <a:ln>
                              <a:noFill/>
                            </a:ln>
                          </a:spPr>
                        </a:sp>
                      </lc:lockedCanvas>
                    </a:graphicData>
                  </a:graphic>
                </wp:anchor>
              </w:drawing>
            </w:r>
            <w:r>
              <w:rPr>
                <w:rFonts w:hint="eastAsia" w:ascii="FangSong_GB2312" w:hAnsi="SimSun" w:cs="Arial"/>
                <w:kern w:val="0"/>
                <w:sz w:val="24"/>
              </w:rPr>
              <w:t>宝丰县人民医院改扩建工程</w:t>
            </w:r>
          </w:p>
        </w:tc>
        <w:tc>
          <w:tcPr>
            <w:tcW w:w="2075" w:type="dxa"/>
            <w:shd w:val="clear" w:color="000000" w:fill="FFFFFF"/>
            <w:noWrap w:val="0"/>
            <w:vAlign w:val="center"/>
          </w:tcPr>
          <w:p>
            <w:pPr>
              <w:widowControl/>
              <w:spacing w:line="400" w:lineRule="exact"/>
              <w:outlineLvl w:val="2"/>
              <w:rPr>
                <w:rFonts w:hint="eastAsia" w:ascii="FangSong_GB2312" w:hAnsi="SimSun" w:cs="Arial"/>
                <w:kern w:val="0"/>
                <w:sz w:val="24"/>
              </w:rPr>
            </w:pPr>
            <w:r>
              <w:rPr>
                <w:rFonts w:hint="eastAsia" w:ascii="FangSong_GB2312" w:hAnsi="SimSun" w:cs="Arial"/>
                <w:kern w:val="0"/>
                <w:sz w:val="24"/>
              </w:rPr>
              <w:t>宝丰县政府</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宝丰县杨庄镇棚户区改造项目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宝丰县发展投资有限公司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宝丰县周庄镇棚户区改造项目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宝丰县发展投资有限公司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宝丰县重点采煤沉陷区生态修复提升综合治理工程 </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宝丰县发展投资有限公司 </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宝丰县城关镇棚户区改造项目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宝丰县发展投资有限公司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郏县百城建设提质工程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郏县百城建设提质工程领导小组办公室</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郏县碧海置业有限公司郏县碧桂园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郏县碧海置业有限公司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叶县闸北棚户区改造项目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叶县房产管理局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129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新华区武庄村旧村改造三期（百合—金山）</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平顶山百合新地置业有限公司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选煤设计院家属区连片开发改造项目二期（百汇·国贸中心）</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市深百汇房地产开发有限公司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新华区西高皇城中村改造项目二期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河南照邦置业有限公司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新华区F地块一期F3项目（鸿瑞·360广场）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市丰业实业有限公司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新华区李庄村北部开发改造项目二期（恒峻·雍景天城）</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河南恒峻天城房地产开发有限公司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新华区李庄新村片区改造二期项目（紫荆长安）</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河南天河置业集团有限公司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新华区安平村棚户区改造项目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市兴华城市建设发展有限公司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卫东区帘子布厂东厂区旧城改造项目（平顶山碧桂园·应国府）</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平顶山碧玺置业有限公司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市棉纺厂旧址改造项目（平顶山碧桂园·天玺项目）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平顶山碧海置业有限公司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卫东区大营棚户区改造项目（碧水苑）</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市建昌房地产开发有限公司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139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平煤神马机械装备集团棚户区改造项目（益宏·上海映象）</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河南益宏嘉业置业有限公司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卫东区东安路旧城改造项目（新景桂园）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市新利达房地产开发有限公司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卫东区脏庄改造项目（荣邦花园二期）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市荣邦房地产开发有限公司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湛河区湛南新城棚户区改造项目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市建昌房地产开发有限公司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平顶山市树脂厂改造领创大地城项目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平顶山大地领创置业有限公司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莲花盆村城中村改造项目（华廷四季城）</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华廷房地产开发有限公司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恒大珺睿府一期商业开发项目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平顶山长久置业有限公司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湛河区后城村棚户区改造项目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永基地产发展有限公司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平顶山市化肥厂改造银基誉府项目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河南中平银基置业有限公司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湛河区柏楼村城中村改造中房印象紫汀苑项目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市中房印象房地产开发有限公司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149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儒俊雅园开发项目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市儒骏房地产开发有限公司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湛南新城部分道路及基础设施项目（长江路、新华路）</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湛南新城发展有限公司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石龙区独立工矿区易地转型发展体系建设项目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石龙区城乡规划建设和交通运输局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石龙区独立工矿区特色商业区基础设施建设改造项目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石龙区城市建设投资有限公司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城乡一体化示范区南宋保障房小区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城乡一体化示范区西投公司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城乡一体化示范区东滍保障房小区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城乡一体化示范区西投公司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城乡一体化示范区肖营保障房小区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城乡一体化示范区西投公司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城乡一体化示范区基础道路建设</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城乡一体化示范区建设局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城乡一体化示范区城市绿化工程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城乡一体化示范区建设局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高新区湛南安置区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市东部投资有限公司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159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高新区基础设施道路PPP及园区道路工程项目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市东部城市建设有限公司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160</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高新区戴庄安置区棚户区改造项目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市东部投资有限公司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服务业项目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舞钢市A级景区基础设施提升工程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舞钢市旅游局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舞钢市马鞍山文化娱乐园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舞钢市铁山街道办事处</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舞钢市山湖香格里拉酒店项目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舞钢市泰深置业有限公司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舞钢市花卉博览园二期建设项目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舞钢市蒙牛山旅游开发有限公司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平顶山西站高铁商务区建设项目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宝丰县金地土地投资开发有限公司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宝丰县马街民俗园保护开发项目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宝丰县文化产业发展投资有限公司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河南强润物流有限公司宝丰多式联运智慧物流港</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河南强润物流有限公司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河南万瑞汽车物流园建设项目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河南万瑞物流园开发有限责任公司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169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宝丰县亿联万洋新都会项目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宝丰万洋国际商贸城有限公司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郏县福万城市广场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郏县福万置业有限公司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河南大同置业有限公司农贸电子商务园项目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河南大同置业有限公司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鲁山县五洲国际商贸城建设项目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鲁山五洲置业有限公司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河南豫西物流园建设项目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河南豫西建业农产品物流园有限公司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鲁山县黄龙湾温泉旅游度假中心</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市意达园林绿化有限公司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鲁山县想马河景区扩建项目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中幻旅旅游开发有限公司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鲁山县九龙潭休闲旅游开发项目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鲁山县九龙潭旅游服务有限公司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叶县亿联大型儿童主题乐园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叶县亿联置业有限公司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平顶山中原玉石商贸城项目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市金石房地产开发有限公司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179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平西商贸中心四期（金石·九天城）</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市金石房地产开发有限公司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鹰城（国际）商务中心一期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河南鹰城集团有限公司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卫东区平东创新工业孵化园一期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平顶山汇生能源服务有限公司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九龙广场项目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市中远尧基置业有限公司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平顶山市泰顺达电商仓储物流园项目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市泰顺达物流园有限公司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建业十八城</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建业集团</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九州通医药产业园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平顶山九州通物流有限公司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186</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凯旋广场</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市坤和房地产开发有限公司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33" w:type="dxa"/>
            <w:tcBorders>
              <w:bottom w:val="single" w:color="auto" w:sz="4" w:space="0"/>
            </w:tcBorders>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tcBorders>
              <w:bottom w:val="single" w:color="auto" w:sz="4" w:space="0"/>
            </w:tcBorders>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社会事业项目</w:t>
            </w:r>
          </w:p>
        </w:tc>
        <w:tc>
          <w:tcPr>
            <w:tcW w:w="2075" w:type="dxa"/>
            <w:tcBorders>
              <w:bottom w:val="single" w:color="auto" w:sz="4" w:space="0"/>
            </w:tcBorders>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tcBorders>
              <w:bottom w:val="single" w:color="auto" w:sz="4" w:space="0"/>
            </w:tcBorders>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187</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FangSong_GB2312" w:hAnsi="SimSun" w:cs="Arial"/>
                <w:kern w:val="0"/>
                <w:sz w:val="24"/>
              </w:rPr>
              <w:t>宝丰县人民医院改扩建工程</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宝丰县人民医院</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宝丰县职业教育培训创业中心</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宝丰县中兴项目建设有限公司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189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宝丰县兴宝学校</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宝丰县教育体育局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平顶山尼龙新材料产业集聚区龚店中学搬迁项目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叶县教育体育局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市第一人民医院新院区（含市儿童医院）</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市第一人民医院</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市中医院新城区分院</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平顶山国控新城中医院管理有限公司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中共平顶山市委党校新校区建设项目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市城投中心</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194</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弘医堂中医医院</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弘医堂中医院</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633" w:type="dxa"/>
            <w:shd w:val="clear" w:color="auto" w:fill="auto"/>
            <w:noWrap w:val="0"/>
            <w:vAlign w:val="center"/>
          </w:tcPr>
          <w:p>
            <w:pPr>
              <w:widowControl/>
              <w:spacing w:line="400" w:lineRule="exact"/>
              <w:outlineLvl w:val="0"/>
              <w:rPr>
                <w:rFonts w:hint="eastAsia" w:ascii="SimHei" w:hAnsi="SimSun" w:eastAsia="SimHei" w:cs="Arial"/>
                <w:kern w:val="0"/>
                <w:sz w:val="24"/>
              </w:rPr>
            </w:pPr>
            <w:r>
              <w:rPr>
                <w:rFonts w:hint="eastAsia" w:ascii="SimHei" w:hAnsi="SimSun" w:eastAsia="SimHei" w:cs="Arial"/>
                <w:kern w:val="0"/>
                <w:sz w:val="24"/>
              </w:rPr>
              <w:t>三　</w:t>
            </w:r>
          </w:p>
        </w:tc>
        <w:tc>
          <w:tcPr>
            <w:tcW w:w="4796" w:type="dxa"/>
            <w:shd w:val="clear" w:color="auto" w:fill="auto"/>
            <w:noWrap w:val="0"/>
            <w:vAlign w:val="center"/>
          </w:tcPr>
          <w:p>
            <w:pPr>
              <w:widowControl/>
              <w:spacing w:line="400" w:lineRule="exact"/>
              <w:jc w:val="left"/>
              <w:outlineLvl w:val="0"/>
              <w:rPr>
                <w:rFonts w:hint="eastAsia" w:ascii="SimHei" w:hAnsi="SimSun" w:eastAsia="SimHei" w:cs="Arial"/>
                <w:kern w:val="0"/>
                <w:sz w:val="24"/>
              </w:rPr>
            </w:pPr>
            <w:r>
              <w:rPr>
                <w:rFonts w:hint="eastAsia" w:ascii="SimHei" w:hAnsi="SimSun" w:eastAsia="SimHei" w:cs="Arial"/>
                <w:kern w:val="0"/>
                <w:sz w:val="24"/>
              </w:rPr>
              <w:t>计划新开工项目</w:t>
            </w:r>
          </w:p>
        </w:tc>
        <w:tc>
          <w:tcPr>
            <w:tcW w:w="2075" w:type="dxa"/>
            <w:shd w:val="clear" w:color="auto" w:fill="auto"/>
            <w:noWrap w:val="0"/>
            <w:vAlign w:val="center"/>
          </w:tcPr>
          <w:p>
            <w:pPr>
              <w:widowControl/>
              <w:spacing w:line="400" w:lineRule="exact"/>
              <w:jc w:val="left"/>
              <w:outlineLvl w:val="0"/>
              <w:rPr>
                <w:rFonts w:hint="eastAsia" w:ascii="FangSong_GB2312" w:hAnsi="SimSun" w:cs="Arial"/>
                <w:kern w:val="0"/>
                <w:sz w:val="24"/>
              </w:rPr>
            </w:pPr>
            <w:r>
              <w:rPr>
                <w:rFonts w:hint="eastAsia" w:ascii="FangSong_GB2312" w:hAnsi="SimSun" w:cs="Arial"/>
                <w:kern w:val="0"/>
                <w:sz w:val="24"/>
              </w:rPr>
              <w:t>　</w:t>
            </w:r>
          </w:p>
        </w:tc>
        <w:tc>
          <w:tcPr>
            <w:tcW w:w="1265" w:type="dxa"/>
            <w:shd w:val="clear" w:color="auto" w:fill="auto"/>
            <w:noWrap w:val="0"/>
            <w:vAlign w:val="center"/>
          </w:tcPr>
          <w:p>
            <w:pPr>
              <w:widowControl/>
              <w:spacing w:line="400" w:lineRule="exact"/>
              <w:jc w:val="center"/>
              <w:outlineLvl w:val="0"/>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33" w:type="dxa"/>
            <w:shd w:val="clear" w:color="auto"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auto"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农业项目</w:t>
            </w:r>
          </w:p>
        </w:tc>
        <w:tc>
          <w:tcPr>
            <w:tcW w:w="2075" w:type="dxa"/>
            <w:shd w:val="clear" w:color="auto"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auto"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宝丰县伊利优然牧业有限公司奶牛场建设项目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宝丰县伊利优然牧业有限公司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宝丰县石板河田园综合体项目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宝丰县父城基础设施建设有限公司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宝丰县花椒扶贫产业基地</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宝丰荣欣农业科技发展股份有限公司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正大郏县农牧发展有限公司百万头生猪项目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正大郏县农牧发展有限公司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199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大北农农牧食品有限公司年出栏40万头生猪生态循环农业项目二期工程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鲁山大北农农牧食品有限公司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河南康茵农牧有限公司微生物养殖资源循环利用与处理项目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河南康茵农牧有限公司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201</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平顶山市正安生态农业科技有限公司生态观光农业园区项目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市正安生态农业科技有限公司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工业项目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舞钢中加钢铁公司绿色化改造及转型升级项目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舞钢中加钢铁有限公司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舞钢丰硕纺织有限公司年产4000吨高档纱线项目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舞钢丰硕纺织有限公司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舞钢市真源制衣有限公司裁段机床智能化改造项目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舞钢市真源制衣有限公司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舞钢新希望炼铁有限责任公司180平米烧结机超低排放改造项目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舞钢新希望炼铁有限责任公司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宝丰县洁石煤化有限公司170吨/小时高温高压干熄焦项目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宝丰县洁石煤化有限公司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泰牛维他命饮料有限公司年产功能性饮料1.5亿箱建设项目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泰牛维他命饮料有限公司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河南广天铸件有限公司年产1500万口高档铁锅精密铸件项目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河南广天铸件有限公司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209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重庆容点科技发展有限公司铸铁锅全自动化应用生产线改造</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重庆容点科技发展有限公司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广州福利厨具有限公司年产460万口高档铸铁锅及精美铸件项目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广州福利厨具有限公司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平顶山海瑞祥有限公司年产15万吨改性塑料项目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平顶山海瑞祥有限公司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河南宜鑫陶瓷科技有限公司地砖钧瓷生产项目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河南宜鑫陶瓷科技有限公司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郏县京鹤同力干混砂浆有限公司新型干混砂浆装配式建材生产项目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郏县京鹤同力干混砂浆有限公司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郏县中联天广水泥有限公司年产10万立方商混预制构件项目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郏县中联天广水泥有限公司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郏县崮山镁业有限公司碳酸镁生产线升级改造项目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郏县崮山镁业有限公司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鲁山县丝绸家纺产业园建设项目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鲁山县圣昊丝绸家纺产业发展有限公司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河南海之源生物医药有限公司年产5万吨保健食品1万台电位治疗仪生产项目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河南海之源生物医药有限公司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鲁山县奥利安科技有限公司汽车玻璃中间膜生产线建设项目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鲁山县奥利安科技有限公司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219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三鼎控股集团有限公司年产60万吨己内酰胺—聚合—纺丝一体化项目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三鼎控股集团有限公司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河南平煤神马聚碳材料有限责任公司40万吨/年聚碳酸酯项目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河南平煤神马聚碳材料有限责任公司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庆联公司建设年产1亿米高档锦纶面料生产线建设项目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嘉兴市庆联纺织印染科技有限公司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河南隆鑫机车有限公司新能源特种车辆产业园项目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河南隆鑫机车有限公司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河南平煤神马聚碳材料有限公司年产13万吨双酚A项目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河南平煤神马聚碳材料有限公司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奥峰建材科技有限公司年产7000万罐聚氨酯泡沫填缝剂项目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青岛奥峰建材科技有限公司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河南恒泰源聚氨酯有限公司年产5万吨聚氨酯鞋底原液项目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河南恒泰源聚氨酯有限公司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平顶山长筑实业有限公司年产100万平方米铝单板和100万平方米铝扣板项目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平顶山长筑实业有限公司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卫东区上徐科技工业园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省延恒实业有限公司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河南双鹤华利药业迁建项目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河南双鹤华利药业有限公司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229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河南佳格食品有限公司大豆深加工腐竹生产线项目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河南佳格食品有限公司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石龙区产业集聚区碳新材料产业园区建设项目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石龙区工业和信息化委员会</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瑞平水泥年产200万吨骨料线400万吨石灰石项目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平顶山瑞平石龙水泥有限公司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平顶山市弘海环保科技有限公司年产10万吨再生碳黑生产项目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市弘海环保科技有限公司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 xml:space="preserve">平顶山市邦顺陶瓷有限公司年产400万平方米高档釉面砖生产线项目 </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市邦顺陶瓷有限公司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平顶山市昌茂纺织有限公司年产5000吨精梳纱智能化升级改造项目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市昌茂纺织有限公司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平顶山东晟高科实业有限公司中间相沥青焦项目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平顶山东晟高科实业有限公司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平顶山市顺通再生资源科技有限公司建筑垃圾再生资源利用项目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市顺通再生资源科技有限公司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真实医药产业园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河南真实生物科技有限公司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舒山科技有限公司新能源汽车产业园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舒山科技有限公司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239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因德飞智能装备有限公司智能装备产业基地</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因德飞智能装备有限公司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高新区尼龙新材料产业园一期项目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市东部投资有限公司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华拓电力科技园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河南华拓电力设备有限公司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河南神马尼龙化工有限公司年产2万吨己二醇技术改造项目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河南神马尼龙化工有限公司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河南神马尼龙化工有限公司封闭式管状皮带输煤系统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河南神马尼龙化工有限公司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河南神马氯碱发展有限公司年产2万吨二氯苯及耗氯产品的研究与开发项目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河南神马氯碱发展有限公司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平顶山市安泰华矿用安全设备制造有限公司瓦斯治理与降温除尘系统研发装备制造项目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市安泰华矿用安全设备制造有限公司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平顶山市神鹰化工科技有限公司年产5万吨固体光气项目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市神鹰化工科技有限公司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247</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神马万里化工有限责任公司环己醇技术改造项目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神马万里化工有限责任公司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能源项目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舞钢市分散式风电建设项目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平煤北控清洁能源有限公司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249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舞钢市祥云风电场项目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华润风电（舞钢）有限公司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鲁山县熊背乡风力发电项目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华润电力控股有限公司河南分公司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鲁山县瓦屋风电场项目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国家电投集团河南新能源有限公司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叶县100兆瓦压缩空气（盐穴）储能项目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葛洲坝中科储能有限公司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叶县分散式风电项目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叶县平煤北控清洁能源有限公司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平顶山东500千伏输变电工程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平顶山供电公司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255</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平煤煌龙新能源有限公司矿井瓦斯绿色发电项目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平煤煌龙新能源有限公司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交通项目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周南高速袁门连接线新建工程（水袁线）</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舞钢市交通运输局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宝丰县城乡新能源交通体系建设项目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宝丰县宝州租赁有限公司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S330逍白线叶县东兰南高速口至G234段改建工程（叶舞路扩宽改造）</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叶县交通运输局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259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S325漯嵩线平顶山程庄至郑万高铁平西站段（一期）改建工程（北环路改造及西延）</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市公路局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S324郸汝线叶县遵化店至鲁山县黄庄段改建工程（大南环）</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市公路局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S325漯嵩线平顶山朱砂洞至鲁山申庄段改建工程（平鲁快速通道）</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市公路局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262</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平顶山公交场站建设项目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市交通运输局</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城建项目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舞钢市罗湾棚户区改造项目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舞钢市房产管理局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舞钢市河湖改造项目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舞钢市水利局、舞钢市住房和城乡建设局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南水北调中线舞钢饮水工程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舞钢市水利局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宝丰县“三河一园”综合治理项目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宝丰县荣泽水利设施建设有限公司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鲁山县静脉产业园建设项目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鲁山首创环保能源有限公司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叶县产业集聚区棚户区改造项目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叶县房产管理局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叶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269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市委家属院旧城改造项目（大唐紫辰院）</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平顶山大唐博睿房地产开发有限公司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新华区杨官营村开发改造项目一期 （恒大悦龙湾）</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市恒建置业有限公司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新华区余沟村、新庄村棚户区改造项目（一期）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市兴华城市建设发展有限公司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新华区西吴庄村棚户区改造项目（一期）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市兴华城市建设发展有限公司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文化宫升级改造项目（旧城改造檀宫二期）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市颐和美景房地产开发有限公司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卫东区十二矿周边区域棚户区改造项目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市天浩城市发展有限公司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卫东区魏寨村区域棚户区改造工程一期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平顶山融城发展投资有限公司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焦庄绿色环保防渗防气垃圾填埋场项目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市住房和城乡建设管理局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湛河区姚孟村棚户区改造一期项目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平顶山湛源城市建设发展有限公司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湛河区铁炉村城中村改造湛南金港广场项目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平顶山玉熙房地产开发有限公司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279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平顶山旭昊商贸年产100万吨工业废弃物循环利用项目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平顶山旭昊商贸有限公司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石龙区独立工矿区石龙河城区段综合治理一期工程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石龙区农林水利局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龙翔大道西延工程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市住房和城乡建设管理局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高新区小营城市综合体项目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平顶山静德房地产开发有限公司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龙翔大道西延隧道工程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市住房和城乡建设管理局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284</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湛河老城区段提档升级工程</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市住房和城乡建设管理局</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跨县</w:t>
            </w:r>
          </w:p>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服务业项目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舞钢市农产品批发电商物流园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舞钢市中合农发建设开发有限公司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舞钢市天福商贸广场项目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福州天福集团</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舞钢市产业集聚区双创产业园及配套基础设施建设项目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舞钢市产业集聚区管委会</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宝丰县特色商业区物流产业园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宝丰县特色商业区管委会</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289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宝丰县创新创业产业园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宝丰县发展投资有限公司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郏县智能化集约式仓储物流服务中心</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郏县智仓统运有限公司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郏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鲁山县A级旅游景区提升改造项目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鲁山县旅游局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鲁山县牛郎织女文化产业园建设项目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鲁山县城市投资有限公司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鲁山文商旅综合体建设项目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鲁山之窗置业有限公司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鲁山县花瓷文化产业园</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鲁山县文化局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鲁山县中影城市文化中心项目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平顶山中影文化发展有限公司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平顶山华耀城项目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华耀城（平顶山）实业有限公司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新华区F1地块旧城改造项目（华盛国际）</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河南瑞创置业有限公司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平顶山海洋馆</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河南省冠瑞集团房地产开发有限公司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299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鹰城商贸中心二期</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河南鹰城集团有限公司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卫东区青云鞋城</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河南福山置业有限公司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平顶山惠康源医药物流仓储项目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河南惠康源医药物流有限公司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平顶山市新丝路物流有限公司仓储物流配套</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市新丝路物流有限公司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卫东区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河南百邦仓储物流运转中心建设项目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河南百邦仓储物流有限公司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石龙区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国家动漫产业发展基地（河南基地）平顶山园区</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河南小樱桃动漫集团有限公司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305</w:t>
            </w:r>
          </w:p>
        </w:tc>
        <w:tc>
          <w:tcPr>
            <w:tcW w:w="4796"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红星美凯龙项目</w:t>
            </w:r>
          </w:p>
        </w:tc>
        <w:tc>
          <w:tcPr>
            <w:tcW w:w="2075" w:type="dxa"/>
            <w:tcBorders>
              <w:bottom w:val="single" w:color="auto" w:sz="4" w:space="0"/>
            </w:tcBorders>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市社会保险服务公司</w:t>
            </w:r>
          </w:p>
        </w:tc>
        <w:tc>
          <w:tcPr>
            <w:tcW w:w="1265" w:type="dxa"/>
            <w:tcBorders>
              <w:bottom w:val="single" w:color="auto" w:sz="4" w:space="0"/>
            </w:tcBorders>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633"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c>
          <w:tcPr>
            <w:tcW w:w="4796" w:type="dxa"/>
            <w:shd w:val="clear" w:color="000000" w:fill="auto"/>
            <w:noWrap w:val="0"/>
            <w:vAlign w:val="center"/>
          </w:tcPr>
          <w:p>
            <w:pPr>
              <w:widowControl/>
              <w:spacing w:line="400" w:lineRule="exact"/>
              <w:outlineLvl w:val="1"/>
              <w:rPr>
                <w:rFonts w:hint="eastAsia" w:ascii="KaiTi_GB2312" w:hAnsi="SimSun" w:eastAsia="KaiTi_GB2312" w:cs="Arial"/>
                <w:kern w:val="0"/>
                <w:sz w:val="24"/>
              </w:rPr>
            </w:pPr>
            <w:r>
              <w:rPr>
                <w:rFonts w:hint="eastAsia" w:ascii="KaiTi_GB2312" w:hAnsi="SimSun" w:eastAsia="KaiTi_GB2312" w:cs="Arial"/>
                <w:kern w:val="0"/>
                <w:sz w:val="24"/>
              </w:rPr>
              <w:t>社会事业项目</w:t>
            </w:r>
          </w:p>
        </w:tc>
        <w:tc>
          <w:tcPr>
            <w:tcW w:w="2075" w:type="dxa"/>
            <w:shd w:val="clear" w:color="000000" w:fill="auto"/>
            <w:noWrap w:val="0"/>
            <w:vAlign w:val="center"/>
          </w:tcPr>
          <w:p>
            <w:pPr>
              <w:widowControl/>
              <w:spacing w:line="400" w:lineRule="exact"/>
              <w:jc w:val="left"/>
              <w:outlineLvl w:val="1"/>
              <w:rPr>
                <w:rFonts w:hint="eastAsia" w:ascii="FangSong_GB2312" w:hAnsi="SimSun" w:cs="Arial"/>
                <w:kern w:val="0"/>
                <w:sz w:val="24"/>
              </w:rPr>
            </w:pPr>
            <w:r>
              <w:rPr>
                <w:rFonts w:hint="eastAsia" w:ascii="FangSong_GB2312" w:hAnsi="SimSun" w:cs="Arial"/>
                <w:kern w:val="0"/>
                <w:sz w:val="24"/>
              </w:rPr>
              <w:t>　</w:t>
            </w:r>
          </w:p>
        </w:tc>
        <w:tc>
          <w:tcPr>
            <w:tcW w:w="1265" w:type="dxa"/>
            <w:shd w:val="clear" w:color="000000" w:fill="auto"/>
            <w:noWrap w:val="0"/>
            <w:vAlign w:val="center"/>
          </w:tcPr>
          <w:p>
            <w:pPr>
              <w:widowControl/>
              <w:spacing w:line="400" w:lineRule="exact"/>
              <w:jc w:val="center"/>
              <w:outlineLvl w:val="1"/>
              <w:rPr>
                <w:rFonts w:hint="eastAsia" w:ascii="FangSong_GB2312" w:hAnsi="SimSun" w:cs="Arial"/>
                <w:kern w:val="0"/>
                <w:sz w:val="24"/>
              </w:rPr>
            </w:pPr>
            <w:r>
              <w:rPr>
                <w:rFonts w:hint="eastAsia" w:ascii="FangSong_GB2312" w:hAnsi="SimSun"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舞钢市市民中心项目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舞钢市商务中心区管委会</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舞钢市新时代国际学校二期建设项目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舞钢市新时代国际学校</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舞钢市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宝丰县一高改扩建项目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宝丰县教育体育局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宝丰县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309</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鲁阳教育产业园建设项目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兴睿源文化发展有限公司</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310</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鲁山县县委党校及廉政教育中心建设项目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鲁山县委党校</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311</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平顶山市树雕艺术博物馆建设项目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市文化体制改革和发展工作领导小组办公室</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312</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市第十四中学整体重建校舍安全改造工程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市第十四中学</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313</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市第十三中学新建综合教学楼校舍安全改造工程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市第十三中学</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314</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市第十一中学新建综合教学楼校舍安全改造工程</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市第十一中学</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湛河区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315</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平顶山市“四馆一中心”项目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市国有资产监督管理局</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316</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市第一高级中学新校区迁建项目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市城投中心</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317</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平顶山海关技术中心</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市城投中心</w:t>
            </w:r>
          </w:p>
        </w:tc>
        <w:tc>
          <w:tcPr>
            <w:tcW w:w="1265"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33" w:type="dxa"/>
            <w:shd w:val="clear" w:color="000000" w:fill="FFFFFF"/>
            <w:noWrap w:val="0"/>
            <w:vAlign w:val="center"/>
          </w:tcPr>
          <w:p>
            <w:pPr>
              <w:widowControl/>
              <w:spacing w:line="400" w:lineRule="exact"/>
              <w:jc w:val="center"/>
              <w:outlineLvl w:val="2"/>
              <w:rPr>
                <w:rFonts w:hint="eastAsia" w:ascii="FangSong_GB2312" w:hAnsi="SimSun" w:cs="Arial"/>
                <w:kern w:val="0"/>
                <w:sz w:val="24"/>
              </w:rPr>
            </w:pPr>
            <w:r>
              <w:rPr>
                <w:rFonts w:hint="eastAsia" w:ascii="FangSong_GB2312" w:hAnsi="SimSun" w:cs="Arial"/>
                <w:kern w:val="0"/>
                <w:sz w:val="24"/>
              </w:rPr>
              <w:t>318</w:t>
            </w:r>
          </w:p>
        </w:tc>
        <w:tc>
          <w:tcPr>
            <w:tcW w:w="4796"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市中心血站整体搬迁项目</w:t>
            </w:r>
          </w:p>
        </w:tc>
        <w:tc>
          <w:tcPr>
            <w:tcW w:w="207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市城投中心</w:t>
            </w:r>
          </w:p>
        </w:tc>
        <w:tc>
          <w:tcPr>
            <w:tcW w:w="1265" w:type="dxa"/>
            <w:shd w:val="clear" w:color="000000" w:fill="FFFFFF"/>
            <w:noWrap w:val="0"/>
            <w:vAlign w:val="center"/>
          </w:tcPr>
          <w:p>
            <w:pPr>
              <w:widowControl/>
              <w:spacing w:line="400" w:lineRule="exact"/>
              <w:jc w:val="left"/>
              <w:outlineLvl w:val="2"/>
              <w:rPr>
                <w:rFonts w:hint="eastAsia" w:ascii="FangSong_GB2312" w:hAnsi="SimSun" w:cs="Arial"/>
                <w:kern w:val="0"/>
                <w:sz w:val="24"/>
              </w:rPr>
            </w:pPr>
            <w:r>
              <w:rPr>
                <w:rFonts w:hint="eastAsia" w:ascii="FangSong_GB2312" w:hAnsi="SimSun" w:cs="Arial"/>
                <w:kern w:val="0"/>
                <w:sz w:val="24"/>
              </w:rPr>
              <w:t>城乡一体化示范区</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Times New Roman"/>
    <w:panose1 w:val="02010609030101010101"/>
    <w:charset w:val="86"/>
    <w:family w:val="modern"/>
    <w:pitch w:val="default"/>
    <w:sig w:usb0="00000000" w:usb1="00000000" w:usb2="00000000" w:usb3="00000000" w:csb0="00040000" w:csb1="00000000"/>
  </w:font>
  <w:font w:name="方正小标宋_GBK">
    <w:altName w:val="Microsoft YaHei"/>
    <w:panose1 w:val="03000509000000000000"/>
    <w:charset w:val="86"/>
    <w:family w:val="script"/>
    <w:pitch w:val="default"/>
    <w:sig w:usb0="00000000" w:usb1="00000000" w:usb2="00000010" w:usb3="00000000" w:csb0="00040000" w:csb1="00000000"/>
  </w:font>
  <w:font w:name="KaiTi_GB2312">
    <w:altName w:val="SimSun"/>
    <w:panose1 w:val="02010609030101010101"/>
    <w:charset w:val="86"/>
    <w:family w:val="modern"/>
    <w:pitch w:val="default"/>
    <w:sig w:usb0="00000000" w:usb1="0000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526BD"/>
    <w:rsid w:val="033526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2019-02-20T01:04:00Z</dcterms:created>
  <dc:creator>江南风</dc:creator>
  <cp:lastModifiedBy>江南风</cp:lastModifiedBy>
  <dcterms:modified xsi:type="dcterms:W3CDTF">2019-02-20T01:06:28Z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